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A/761/2023 vom 16. April 2024</w:t>
      </w:r>
    </w:p>
    <w:p>
      <w:r>
        <w:t>GE Cour de justice, 2024-04-16, FR</w:t>
      </w:r>
    </w:p>
    <w:p>
      <w:r>
        <w:rPr>
          <w:b/>
        </w:rPr>
        <w:t xml:space="preserve">Quelle: </w:t>
      </w:r>
      <w:r>
        <w:t>https://mcp.opencaselaw.ch/entscheid/ge_gerichte_A_761_2023</w:t>
      </w:r>
    </w:p>
    <w:p>
      <w:r>
        <w:t>FR: GE_GERICHTE A/761/2023 du 16 avril 2024</w:t>
      </w:r>
    </w:p>
    <w:p>
      <w:r>
        <w:t>IT: GE_GERICHTE A/761/2023 del 16 aprile 2024</w:t>
      </w:r>
    </w:p>
    <w:p>
      <w:pPr>
        <w:pStyle w:val="Heading2"/>
      </w:pPr>
      <w:r>
        <w:t>Regeste</w:t>
      </w:r>
    </w:p>
    <w:p>
      <w:r>
        <w:t>DROIT FISCAL;IMPÔT CANTONAL ET COMMUNAL;IMPÔT FÉDÉRAL DIRECT;PROCÉDURE FISCALE;IMPÔT SUR LE REVENU;IMPÔT SUR LA FORTUNE;IMMEUBLE;VALEUR VÉNALE(SENS GÉNÉRAL);VALEUR FISCALE;DÉDUCTION DES INTÉRÊTS PASSIFS;DROIT D'ÊTRE ENTENDU;EFFET CONFISCATOIRE DE L'IMPÔT | La recourante conteste la conformité à l’art. 14 LHID du caractère schématique du taux de capitalisation cantonal en matière d’évaluation des immeubles locatifs par l’AFC, qui est confirmée en l’espèce. Recours rejeté. | Cst.26; LHID.13; LHID.14; LIPP.49; LIPP.50; LIPP.60</w:t>
      </w:r>
    </w:p>
    <w:p>
      <w:pPr>
        <w:pStyle w:val="Heading2"/>
      </w:pPr>
      <w:r>
        <w:t>Erwägungen</w:t>
      </w:r>
    </w:p>
    <w:p>
      <w:r>
        <w:rPr>
          <w:b/>
        </w:rPr>
        <w:t>E. 4</w:t>
      </w:r>
    </w:p>
    <w:p>
      <w:r>
        <w:t>La recourante considère qu’afin de déterminer la valeur fiscale de l’immeuble, il convient de retrancher de l’état locatif les coûts annuels de réparation et de restauration. Or, comme l’a à juste titre relevé le TAPI, ni l’art. 50 let. a LIPP, ni la jurisprudence ne prévoient que de tels frais soient déduits de la valeur locative. L’AFC-GE a cependant tenu compte de charges et frais d’entretien pour un montant de CHF 64'934.- dans le bordereau d’impôts. Mal fondé, ce grief devra également être écarté.</w:t>
      </w:r>
    </w:p>
    <w:p>
      <w:r>
        <w:rPr>
          <w:b/>
        </w:rPr>
        <w:t>E. 5</w:t>
      </w:r>
    </w:p>
    <w:p>
      <w:r>
        <w:t>La recourante soutient que son imposition serait confiscatoire.</w:t>
      </w:r>
    </w:p>
    <w:p>
      <w:r>
        <w:rPr>
          <w:b/>
        </w:rPr>
        <w:t>E. 5.1</w:t>
      </w:r>
    </w:p>
    <w:p>
      <w:r>
        <w:t>Aux termes de l'art. 26 al. 1 Cst., la propriété est garantie. En matière fiscale, cette disposition ne va pas au-delà de l'interdiction d'une imposition confiscatoire, laquelle porte atteinte à l'institution même et au noyau essentiel de la propriété privée (arrêt du Tribunal fédéral 2C_579/2009 du 25 juin 2010 consid. 6.2 ; ATA/223/2019 du 5 mars 2019 consid. 16c).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 ; 128 II 112 consid. 10b/bb ; 106 Ia 342 consid. 6a ; arrêts du Tribunal fédéral 2C_324/2017 du 28 juillet 2017 consid. 3.1 ; 2C_837/2015 du 23 août 2016 consid. 4.1) ou encore le fait que l'impôt sur la fortune devait en principe pouvoir être couvert par les rendements de celle-ci (ATF 106 Ia 342 consid. 6b).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du montant des rentes d'une personne ayant une capacité contributive réduite ( ATA/125/2018 du 6 février 2018 ; Xavier OBERSON, Droit fiscal suisse, 5 ème éd., 2021, p. 48 n. 50). Il avait notamment admis que le noyau essentiel de la propriété privée n'était pas touché si, pendant une courte période, le revenu à disposition ne suffisait pas à s'acquitter de la charge fiscale sans entamer la fortune (ATF 143 I 73 consid. 5 ; 106 Ia 342 consid. 6c ; arrêts du Tribunal fédéral 2C_324/2017 précité consid. 3.1 ; 2C_277/2008 du 26 septembre 2008 consid. 4.1, in RDAF 2007 I 573 ). Au plan cantonal, la chambre de céans a jugé confiscatoire une imposition totale sur le revenu et la fortune représentant 98,5% du revenu imposable des recourants, dont la situation sur ce point était durable ( ATA/771/2011 du 20 décembre 2011 consid. 9). Elle est arrivée à la même conclusion s'agissant d'une imposition totale (fédérale, cantonale et communale) équivalant à 92,36% du revenu imposable ICC de la contribuable, ce qui épuisait la substance de l'objet imposable et empêchait sa reconstitution, l'atteinte s'inscrivant au demeurant dans la durée ( ATA/818/2012 du 4 décembre 2012 consid. 9). En revanche, la chambre administrative a nié, à de nombreuses reprises, le caractère confiscatoire de l'imposition en présence de situations exceptionnelles ou qui ne s'inscrivaient pas dans la durée ( ATA/329/2018 du 10 avril 2018 ; ATA/168/2018 du 20 février 2018 ; ATA/1264/2015 du 24 novembre 2015).</w:t>
      </w:r>
    </w:p>
    <w:p>
      <w:r>
        <w:rPr>
          <w:b/>
        </w:rPr>
        <w:t>E. 5.2</w:t>
      </w:r>
    </w:p>
    <w:p>
      <w:r>
        <w:t>Au 1 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 et permet ainsi la mise en place du bouclier fiscal à Genève. Pour les contribuables domiciliés en Suisse, les impôts sur la fortune et sur le revenu – centimes additionnels cantonaux et communaux compris – ne peuvent excéder au total 60% du revenu net imposable. Toutefois, pour ce calcul, le rendement net de la fortune est fixé au moins à 1% de la fortune nette (art. 60 al. 1 LIPP).</w:t>
      </w:r>
    </w:p>
    <w:p>
      <w:r>
        <w:rPr>
          <w:b/>
        </w:rPr>
        <w:t>E. 5.3</w:t>
      </w:r>
    </w:p>
    <w:p>
      <w:r>
        <w:t>Lorsqu'il fait valoir que l'impôt a un caractère confiscatoire, le contribuable, qui a la charge de la preuve ( ATA/168/2018 précité consid. 6), ne peut se limiter à alléguer celui-ci sans aucune démonstration de sa réalité, le seul niveau d’imposition ne suffisant pas à cet égard ( ATA/168/2018 précité consid. 6 ; ATA/779/2015 du 28 juillet 2015 consid. 5d ; ATA/781/2015 du 28 juillet 2015 consid. 4c).</w:t>
      </w:r>
    </w:p>
    <w:p>
      <w:r>
        <w:rPr>
          <w:b/>
        </w:rPr>
        <w:t>E. 5.4</w:t>
      </w:r>
    </w:p>
    <w:p>
      <w:r>
        <w:t>En l’espèce, la recourante se contente d’alléguer que la décision de l’AFC-GE conduirait à lui faire payer un impôt disproportionné et contribue à confisquer son patrimoine. Toutefois, au vu des bases légales et de la jurisprudence mentionnées ci-dessus, ces seuls éléments ne suffisent pas à considérer que son imposition serait confiscatoire. En particulier, l’atteinte au patrimoine de la recourante dans la durée n’a pas été démontrée. Cette dernière a de plus bénéficié du bouclier fiscal. En ces circonstances, la recourante supportant le fardeau de la preuve, il n’y a pas lieu d’examiner plus en détail si son imposition serait confiscatoire. Ce grief doit donc être écarté. Par conséquent, entièrement mal fondé, le recours sera rejeté.</w:t>
      </w:r>
    </w:p>
    <w:p>
      <w:r>
        <w:rPr>
          <w:b/>
        </w:rPr>
        <w:t>E. 6</w:t>
      </w:r>
    </w:p>
    <w:p>
      <w:r>
        <w:t>Vu l'issue du litige,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