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A/761/2004 vom 17. Dezember 2003</w:t>
      </w:r>
    </w:p>
    <w:p>
      <w:r>
        <w:t>GE Cour de justice, 2003-12-17, FR</w:t>
      </w:r>
    </w:p>
    <w:p>
      <w:r>
        <w:rPr>
          <w:b/>
        </w:rPr>
        <w:t xml:space="preserve">Quelle: </w:t>
      </w:r>
      <w:r>
        <w:t>https://mcp.opencaselaw.ch/entscheid/ge_gerichte_A_761_2004</w:t>
      </w:r>
    </w:p>
    <w:p>
      <w:r>
        <w:t>FR: GE_GERICHTE A/761/2004 du 17 décembre 2003</w:t>
      </w:r>
    </w:p>
    <w:p>
      <w:r>
        <w:t>IT: GE_GERICHTE A/761/2004 del 17 dicembre 2003</w:t>
      </w:r>
    </w:p>
    <w:p>
      <w:pPr>
        <w:pStyle w:val="Heading2"/>
      </w:pPr>
      <w:r>
        <w:t>Erwägungen</w:t>
      </w:r>
    </w:p>
    <w:p>
      <w:r>
        <w:rPr>
          <w:b/>
        </w:rPr>
        <w:t>E. 2</w:t>
      </w:r>
    </w:p>
    <w:p>
      <w:r>
        <w:t>L'art. 25a de la loi fédérale sur le libre passage dans la prévoyance professionnelle vieillesse, survivants et invalidité du 17 décembre 1993 (LFLP), entré en vigueur le 1er janvier 2000, règle la procédure en cas de divorce. En cas de désaccord des conjoints sur la prestation de sortie à partager en cas de divorce (art. 122 et 123 CC), le juge du lieu du divorce compétent au sens de l'art. 73 al. 1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3</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4</w:t>
      </w:r>
    </w:p>
    <w:p>
      <w:r>
        <w:t>Aux termes de l’art. 7 al. 1 LPP, les salariés ne sont soumis à l’assurance obligatoire pour la vieillesse que dès le 1 er janvier qui suit la date à laquelle ils ont eu 24 ans. Ce n’est dès lors que dès cette date que l’avoir de vieillesse commence à être accumulé.</w:t>
      </w:r>
    </w:p>
    <w:p>
      <w:r>
        <w:rPr>
          <w:b/>
        </w:rPr>
        <w:t>E. 5</w:t>
      </w:r>
    </w:p>
    <w:p>
      <w:r>
        <w:t>En l’espèce, le Tribunal de première instance a ordonné le partage par moitié de la prestation de sortie acquise par Monsieur M__________ entre le 7 mai 1997 et le 6 février 2004. Pendant ce laps de temps, ce dernier à accumulé une prestation de libre-passage de 22'774 fr. 80. Certes, selon la communication du 3 mai 2004 de la CAISSE INTER-ENTREPRISES DE PREVOYANCE PROFESSIONNELLE, la prestation de sortie à la date du mariage est inconnue. Toutefois, dans la mesure où Monsieur M__________ est né le avril 1972 et n’a dès lors pu commencer à accumuler ses avoirs de vieillesse que dès le 1 er janvier 1997, à savoir quatre mois avant son mariage, il y lieu de considérer que le montant de la prestation de sortie auprès de cette dernière caisse a été accumulée entièrement ou, du moins presque, pendant toute la durée du mariage. La moitié de la somme de 22'774 fr. 80 représentant 11'387 fr. 40 (et non pas 11'387 fr. 80 comme cela a été communiqué par erreur aux parties), il appartient à la CAISSE INTER-ENTREPRISES DE PREVOYANCE PROFESSIONNELLE de verser cette somme sur le compte de prévoyance professionnelle de Madame M__________ auprès de la GENERALI ASSURANCES DE PERSONNES.</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Cela étant, il convient également que la CAISSE INTER-ENTREPRISES DE PREVOYANCE PROFESSIONNELLE augmente le montant à transférer du taux minimum légal ou du taux réglementaire, si celui-ci est supérieur, dès le 6 février 2004, date de l’entrée en force de chose jugée du prononcé du divorce.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