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A/760/2023 vom 23. April 2024</w:t>
      </w:r>
    </w:p>
    <w:p>
      <w:r>
        <w:t>GE Cour de justice, 2024-04-23, FR</w:t>
      </w:r>
    </w:p>
    <w:p>
      <w:r>
        <w:rPr>
          <w:b/>
        </w:rPr>
        <w:t xml:space="preserve">Quelle: </w:t>
      </w:r>
      <w:r>
        <w:t>https://mcp.opencaselaw.ch/entscheid/ge_gerichte_A_760_2023</w:t>
      </w:r>
    </w:p>
    <w:p>
      <w:r>
        <w:t>FR: GE_GERICHTE A/760/2023 du 23 avril 2024</w:t>
      </w:r>
    </w:p>
    <w:p>
      <w:r>
        <w:t>IT: GE_GERICHTE A/760/2023 del 23 aprile 2024</w:t>
      </w:r>
    </w:p>
    <w:p>
      <w:pPr>
        <w:pStyle w:val="Heading2"/>
      </w:pPr>
      <w:r>
        <w:t>Erwägungen</w:t>
      </w:r>
    </w:p>
    <w:p>
      <w:r>
        <w:rPr>
          <w:b/>
        </w:rPr>
        <w:t>E. 2</w:t>
      </w:r>
    </w:p>
    <w:p>
      <w:r>
        <w:t>Le recours a pour objet le refus de l’autorité intimée d'entrer en matière sur la demande de reconsidération des recourants.</w:t>
      </w:r>
    </w:p>
    <w:p>
      <w:r>
        <w:rPr>
          <w:b/>
        </w:rPr>
        <w:t>E. 2.1</w:t>
      </w:r>
    </w:p>
    <w:p>
      <w:r>
        <w:t>L’autorité administrative qui a pris une décision entrée en force n’est obligée de la reconsidérer que si sont réalisées les conditions de l’art. 48 al. 1 LPA. Une telle obligation existe lorsque la décision dont la reconsidération est demandée a été prise sous l’influence d’un crime ou d’un délit (art. 80 let. a LPA) ou que des faits ou des moyens de preuve nouveaux et importants existent, que le recourant ne pouvait connaître ou invoquer dans la procédure précédente (art. 80 let. b LPA ; faits nouveaux « anciens » ; ATA/98/2024 du 30 janvier 2024 consid. 3.1 ; ATA/1301/2023 du 5 décembre 2023 consid. 5.2). Une telle obligation existe également lorsque la situation du destinataire de la décision s’est notablement modifiée depuis la première décision (art. 48 al. 1 let. b LPA). Il faut entendre par là des faits nouveaux « nouveaux », c’est-à-dire survenus après la prise de la décision litigieuse, qui modifient de manière importante l’état de fait ou les bases juridiques sur lesquels l’autorité a fondé sa décision, justifiant par là sa remise en cause. Pour qu’une telle condition soit réalisée, il faut que survienne une modification importante de l’état de fait ou des bases juridiques, ayant pour conséquence, malgré l’autorité de la chose jugée rattachée à la décision en force, la remise en question de cette dernière ( ATA/1115/2023 du 10 octobre 2023 consid. 2.1 et les références citées). Une demande de reconsidération ne doit pas permettre de remettre continuellement en cause des décisions entrées en force et d’éluder les dispositions légales sur les délais de recours (ATF 136 II 177 consid. 2.1). C’est pourquoi, en principe, l’administré n’a aucun droit à ce que l’autorité entre en matière sur sa demande de reconsidération, sauf si une telle obligation de l’autorité est prévue par la loi ou si les conditions particulières posées par la jurisprudence sont réalisées (ATF 120 Ib 42 consid. 2b). La procédure de reconsidération ne constitue pas un moyen de réparer une erreur de droit ou une omission dans une précédente procédure (ATF 111 Ib 211 ).</w:t>
      </w:r>
    </w:p>
    <w:p>
      <w:r>
        <w:rPr>
          <w:b/>
        </w:rPr>
        <w:t>E. 2.2</w:t>
      </w:r>
    </w:p>
    <w:p>
      <w:r>
        <w:t>En droit des étrangers, le résultat est identique que l’on parle de demande de réexamen ou de nouvelle demande d’autorisation : l’autorité administrative, laquelle se base sur l’état de fait actuel, qui traiterait une requête comme une nouvelle demande, n’octroiera pas une autorisation de séjour dans un cas où elle l’a refusée auparavant si la situation n’a pas changé. Si toutefois la situation a changé, les conditions posées au réexamen seront en principe remplies (arrêts du Tribunal fédéral 2C_203/2020 du 8 mai 2020 consid. 4.3 ; 2C_715/2011 du 2 mai 2012 consid. 4.2 ; ATA/1115/2023 précité consid. 2.3). L’écoulement du temps et la poursuite d’une intégration socioprofessionnelle ne peuvent être qualifiés d’éléments notables au sens de l’art. 48 al. 1 let. b LPA lorsqu’ils résultent uniquement du fait que l’étranger ne s’est pas conformé à une décision initiale malgré son entrée en force ( ATA/98/2024 précité consid. 3.2 ; ATA/1114/2023 du 10 octobre 2023 consid. 2.7 et les références citées).</w:t>
      </w:r>
    </w:p>
    <w:p>
      <w:r>
        <w:rPr>
          <w:b/>
        </w:rPr>
        <w:t>E. 2.3</w:t>
      </w:r>
    </w:p>
    <w:p>
      <w:r>
        <w:t>Saisie d’une demande de reconsidération, l’autorité examine préalablement si les conditions de l’art. 48 LPA sont réalisées. Si tel n’est pas le cas, elle rend une décision de refus d’entrer en matière qui peut faire l’objet d’un recours dont le seul objet est de contrôler la bonne application de cette disposition (ATF 117 V 8 consid. 2). Si lesdites conditions sont réalisées, ou si l’autorité entre en matière volontairement sans y être tenue, et rend une nouvelle décision identique à la première sans avoir réexaminé le fond de l’affaire, le recours ne pourra en principe pas porter sur ce dernier aspect. Si la décision rejette la demande de reconsidération après instruction, il s’agira alors d’une nouvelle décision sur le fond, susceptible de recours. Dans cette hypothèse, le litige a pour objet la décision sur réexamen et non la décision initiale (arrêts du Tribunal fédéral 2C_319/2015 du 10 septembre 2015 consid. 3 ; 2C_406/2013 du 23 septembre 2013 consid. 4.1).</w:t>
      </w:r>
    </w:p>
    <w:p>
      <w:r>
        <w:rPr>
          <w:b/>
        </w:rPr>
        <w:t>E. 2.4</w:t>
      </w:r>
    </w:p>
    <w:p>
      <w:r>
        <w:t>En l’espèce, l’autorité intimée n’est pas entrée en matière sur la demande de reconsidération de sa décision du 26 juin 2020, ce qu’a confirmé le TAPI, de sorte que seule sera examinée la violation alléguée de l’art. 48 LPA, à l’exclusion de l’application des art. 30 al. 1 let. b de la loi fédérale sur les étrangers et l’intégration du 16 décembre 2005 (LEI - RS 142.20) et 31 de l’ordonnance relative à l’admission, au séjour et à l’exercice d’une activité lucrative du 24 octobre 2007 (OASA - RS 142.201). Les recourants n’invoquent aucun « fait nouveau ancien » (ou nova improprement dits), si bien que seule l’application de l’art. 48 al. 1 let. b LPA est envisageable. Comme relevé par le TAPI, les éléments mis en avant par les recourants, à savoir une plus longue durée de séjour, une intégration renforcée au fil du temps, en particulier sur le plan professionnel, et la scolarisation de leur fils aîné sont liés au simple écoulement du temps et à l’évolution normale de leur intégration en Suisse, si bien que, conformément à la jurisprudence précitée, ils ne peuvent être qualifiés d’éléments notables au sens de l’art. 48 al. 1 let. b LPA. L'autorité intimée n'était dès lors pas tenue de procéder à une nouvelle pesée d'intérêts complète. Il sied de relever que, contrairement à ce que prétendent les recourants, ils ont bien mis les autorités de migration devant le fait accompli, dès lors qu'ils sont restés en Suisse en violation de la décision de renvoi entrée en force. Ils auraient pu utiliser les moyens de droit à leur disposition depuis leur pays d'origine, comme le prévoit du reste l'art. 17 LEI. Entièrement mal fondé, le recours sera par conséquent rejeté, le prononcé du présent arrêt rendant sans objet la demande d'octroi de l'effet suspensif.</w:t>
      </w:r>
    </w:p>
    <w:p>
      <w:r>
        <w:rPr>
          <w:b/>
        </w:rPr>
        <w:t>E. 3</w:t>
      </w:r>
    </w:p>
    <w:p>
      <w:r>
        <w:t>Vu l’issue du litige, un émolument de CHF 400.- sera mis à la charge solidaire des recourants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