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A/75/2011 vom 28. Juni 2011</w:t>
      </w:r>
    </w:p>
    <w:p>
      <w:r>
        <w:t>GE Cour de justice, 2011-06-28, FR</w:t>
      </w:r>
    </w:p>
    <w:p>
      <w:r>
        <w:rPr>
          <w:b/>
        </w:rPr>
        <w:t xml:space="preserve">Quelle: </w:t>
      </w:r>
      <w:r>
        <w:t>https://mcp.opencaselaw.ch/entscheid/ge_gerichte_A_75_2011</w:t>
      </w:r>
    </w:p>
    <w:p>
      <w:r>
        <w:t>FR: GE_GERICHTE A/75/2011 du 28 juin 2011</w:t>
      </w:r>
    </w:p>
    <w:p>
      <w:r>
        <w:t>IT: GE_GERICHTE A/75/2011 del 28 giugno 2011</w:t>
      </w:r>
    </w:p>
    <w:p>
      <w:pPr>
        <w:pStyle w:val="Heading2"/>
      </w:pPr>
      <w:r>
        <w:t>Erwägungen</w:t>
      </w:r>
    </w:p>
    <w:p>
      <w:r>
        <w:rPr>
          <w:b/>
        </w:rPr>
        <w:t>E. 6</w:t>
      </w:r>
    </w:p>
    <w:p>
      <w:r>
        <w:t>a) 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w:t>
      </w:r>
    </w:p>
    <w:p>
      <w:r>
        <w:rPr>
          <w:b/>
        </w:rPr>
        <w:t>E. 7</w:t>
      </w:r>
    </w:p>
    <w:p>
      <w:r>
        <w:t>Dans le cas d'espèce, après avoir affirmé de façon constante et cohérente qu'il n'avait jamais contacté Y_________, ayant cru que l'assignation litigeuse concernait X_________, l'assuré prétend pour la première fois lors de la dernière audience avoir téléphoné à Y_________. L'entreprise en question confirme toutefois que tel n'est en tout cas pas le cas en lien avec l'assignation, de sorte que l'assuré n'a pas donné suite à cette assignation selon les règles fixées (proposer sa candidature), étant précisé que même si l'éloignement géographique était le motif de refuser l'emploi, l'assuré ne pouvait pas ignorer qu'il devait dans ce cas-là informer son conseiller des résultats de la démarche, l'assignation précisant cette obligation. Il se trouve cependant que le lieu de travail mentionné sur l'assignation chez Y_________ est Genève, de sorte que l'assuré confond encore une fois deux entretiens téléphoniques, le lieu de travail chez X_________ étant quant à lui à Founex, dans le canton de Vaud. Il est en tout cas avéré que l'assuré n'a pas contacté Y_________ dans le cadre de cette assignation. Il faut donc considérer que l'assuré n'a pas donné suite à cette assignation et que ce comportement était évitable, sur la base de ce que ferait un homme raisonnable en faisant preuve d'une attention normale, en procédant à un examen attentif du texte des diverses assignations remises qui permettait de les distinguer et de proposer sa candidature au poste proposé chez Y_________. Au demeurant, l'assuré ne fait pas valoir que l'emploi proposé ne serait pas convenable, sous réserve des exigences en français qui semblent provenir d'une erreur et qui sont sans lien avec l'absence de postulation de la part de l'assuré. Reste à examiner si, ce faisant, l'assuré a commis une faute grave. Il est établi par l'audition du témoin que deux assignations ont été remises en main propre à l'assuré lors de l'entretien avec son conseiller en personnel le 7 juillet 2010, l'une pour un emploi de maçon chez Y_________, l'autre pour un emploi de maçon-coffreur auprès de Z_________. L'assignation pour un emploi de maçon coffreur auprès de X_________ avait été adressée à l'assuré le 14 mai 2010 et il y avait donné suite. Compte tenu de la mauvaise maîtrise de la langue par l'assuré et du fait qu'il a discuté à nouveau avec son conseiller de X_________ le 7 juillet 2010, il est tout à vraisemblable que l'assuré ait cru - son conseiller lui demandant de reprendre contact avec X_________ courant juillet - que la seconde assignation concernait cette entreprise-là, ce d'autant plus que l'assignation chez Y_________ n'a pas été discutée du tout ce jour-là et que les personnes de contact mentionnées ont un nom très semblable (D_________ et E_________). Il est donc retenu au degré de la vraisemblance prépondérante que l'assuré a confondu deux assignations et n'a donc pas volontairement renoncé à se présenter chez Y_________. De plus, le conseiller en personnel de l'assuré affirme que celui-ci a tout fait pour retrouver du travail, a respecté toutes les prescriptions, de sorte qu'il ne comprends pas pourquoi il ne s'est pas présenté à Y_________, ce qui tend à confirmer l'hypothèse retenue d'une erreur de l'assuré. Cette circonstance objective est, selon l'arrêt du Tribunal Fédéral cité, un motif valable qui fait apparaître la faute comme étant de gravité moyenne et non pas grave, la seule faute de l'assuré étant de ne pas avoir examiné avec une attention suffisante les diverses assignations. S'agissant de la durée de la suspension, il faut retenir qu'aucune sanction n'a été prononcée contre l'assuré depuis l'ouverture de son délai cadre en février 2009, de sorte qu'il se justifie de fixer la durée de la suspension à la moyenne du barème fixé en cas de faute moyenne (entre 16 et 30 jours), soit à 23 jours au lieu de 35 jours.</w:t>
      </w:r>
    </w:p>
    <w:p>
      <w:r>
        <w:rPr>
          <w:b/>
        </w:rPr>
        <w:t>E. 8</w:t>
      </w:r>
    </w:p>
    <w:p>
      <w:r>
        <w:t>Le recours est ainsi partiellement admis, la décision du 26 novembre 2010 est annulée et la sanction est fixée à 23 jours de suspension du droit à l'indemnité. Le recourant, qui obtient gain de cause, a droit à une indemnité à titre de participation à ses frais et dépens, que la Cour fixe en l'espèce à 2'500 fr. (art. 61 let. g LPGA ; art. 89H al. 3 LPA), en tenant compte du nombre d'audience et d'écritures, de la pertinence de celles-ci et de la relative complexité de la cause. PAR CES MOTIFS, LA CHAMBRE DES ASSURANCES SOCIALES : Statuant A la forme : Déclare le recours recevable. Au fond : L'admet partiellement, annule la décision du 26 novembre 2010 et fixe la durée de la suspension à 23 jours. Condamne l'intimé au versement d'une indemnité de procédure de 2'500 fr. en faveur du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