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A/759/2009 vom 17. November 2009</w:t>
      </w:r>
    </w:p>
    <w:p>
      <w:r>
        <w:t>GE Cour de justice, 2009-11-17, FR</w:t>
      </w:r>
    </w:p>
    <w:p>
      <w:r>
        <w:rPr>
          <w:b/>
        </w:rPr>
        <w:t xml:space="preserve">Quelle: </w:t>
      </w:r>
      <w:r>
        <w:t>https://mcp.opencaselaw.ch/entscheid/ge_gerichte_A_759_2009</w:t>
      </w:r>
    </w:p>
    <w:p>
      <w:r>
        <w:t>FR: GE_GERICHTE A/759/2009 du 17 novembre 2009</w:t>
      </w:r>
    </w:p>
    <w:p>
      <w:r>
        <w:t>IT: GE_GERICHTE A/759/2009 del 17 novembre 2009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Par courrier du 28 mai 2009, le recourant a transmis au Tribunal les bilans et comptes d’exploitation de la société pour les exercices 2001, 2002, 2003.</w:t>
      </w:r>
    </w:p>
    <w:p>
      <w:r>
        <w:rPr>
          <w:b/>
        </w:rPr>
        <w:t>E. 13</w:t>
      </w:r>
    </w:p>
    <w:p>
      <w:r>
        <w:t>On relèvera encore que le recourant étant solidairement responsable avec l’administrateur, la caisse peut rechercher tous les débiteurs, quelques-uns ou un seul d'entre eux, à son gré (ATF 119 V 87 consid. 5a, 112 V 262 consid. 2b).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