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A/757/2022 vom 24. Januar 2023</w:t>
      </w:r>
    </w:p>
    <w:p>
      <w:r>
        <w:t>GE Cour de justice, 2023-01-24, FR</w:t>
      </w:r>
    </w:p>
    <w:p>
      <w:r>
        <w:rPr>
          <w:b/>
        </w:rPr>
        <w:t xml:space="preserve">Quelle: </w:t>
      </w:r>
      <w:r>
        <w:t>https://mcp.opencaselaw.ch/entscheid/ge_gerichte_A_757_2022</w:t>
      </w:r>
    </w:p>
    <w:p>
      <w:r>
        <w:t>FR: GE_GERICHTE A/757/2022 du 24 janvier 2023</w:t>
      </w:r>
    </w:p>
    <w:p>
      <w:r>
        <w:t>IT: GE_GERICHTE A/757/2022 del 24 gennaio 2023</w:t>
      </w:r>
    </w:p>
    <w:p>
      <w:pPr>
        <w:pStyle w:val="Heading2"/>
      </w:pPr>
      <w:r>
        <w:t>Erwägungen</w:t>
      </w:r>
    </w:p>
    <w:p>
      <w:r>
        <w:rPr>
          <w:b/>
        </w:rPr>
        <w:t>E. 1</w:t>
      </w:r>
    </w:p>
    <w:p>
      <w:r>
        <w:t>1.1 Le recours a été interjeté en temps utile devant la juridiction compétente (art. 132 de la loi sur l'organisation judiciaire du 26 septembre 2010 - LOJ ‑ E 2 05 ; art. 62 al. 1 let. a de la loi sur la procédure administrative du 12 septembre 1985 - LPA - E 5 10).</w:t>
      </w:r>
    </w:p>
    <w:p>
      <w:r>
        <w:rPr>
          <w:b/>
        </w:rPr>
        <w:t>E. 1.2</w:t>
      </w:r>
    </w:p>
    <w:p>
      <w:r>
        <w:t>Selon l'art. 65 LPA, l'acte de recours contient, sous peine d'irrecevabilité, la désignation de la décision attaquée et les conclusions du recourant (al. 1). Il contient également l'exposé des motifs ainsi que l'indication des moyens de preuve (al. 2). Compte tenu du caractère peu formaliste de cette disposition, la jurisprudence fait preuve d'une certaine souplesse s'agissant de la manière dont sont formulées les conclusions du recourant. Le fait qu'elles ne ressortent pas expressément de l'acte de recours n'est, en soi, pas un motif d'irrecevabilité, pour autant que l'autorité judiciaire et la partie adverse puissent comprendre avec certitude les fins du recourant ( ATA/204/2021 du 23 février 2021 consid. 2b ; ATA/1718/2019 du 26 novembre 2019 consid. 2).</w:t>
      </w:r>
    </w:p>
    <w:p>
      <w:r>
        <w:rPr>
          <w:b/>
        </w:rPr>
        <w:t>E. 1.3</w:t>
      </w:r>
    </w:p>
    <w:p>
      <w:r>
        <w:t>En l’espèce, bien que les conclusions de la recourante ne ressortent pas expressément de l’acte de recours, on comprend qu’elle conteste la décision de l'intimé du 1 er février 2022 et souhaite son annulation. Le recours est ainsi recevable.</w:t>
      </w:r>
    </w:p>
    <w:p>
      <w:r>
        <w:rPr>
          <w:b/>
        </w:rPr>
        <w:t>E. 2.1</w:t>
      </w:r>
    </w:p>
    <w:p>
      <w:r>
        <w:t>Le litige porte sur la conformité au droit du refus de prolonger l'autorisation de séjour de la recourante et du prononcé de son renvoi de Suisse.</w:t>
      </w:r>
    </w:p>
    <w:p>
      <w:r>
        <w:rPr>
          <w:b/>
        </w:rPr>
        <w:t>E. 2.2</w:t>
      </w:r>
    </w:p>
    <w:p>
      <w:r>
        <w:t>Le 1 er janvier 2019, est entrée en vigueur une modification de la loi fédérale sur les étrangers du 16 décembre 2005 (LEtr), devenue la LEI, étant précisé que la plupart des dispositions de la LEI sont demeurées identiques.</w:t>
      </w:r>
    </w:p>
    <w:p>
      <w:r>
        <w:rPr>
          <w:b/>
        </w:rPr>
        <w:t>E. 2.3</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du Congo.</w:t>
      </w:r>
    </w:p>
    <w:p>
      <w:r>
        <w:rPr>
          <w:b/>
        </w:rPr>
        <w:t>E. 3</w:t>
      </w:r>
    </w:p>
    <w:p>
      <w:r>
        <w:t>3.1 Aux termes de l'art. 43 al. 1 LEI, le conjoint étranger du titulaire d'une autorisation d'établissement a droit à l’octroi d’une autorisation de séjour et à la prolongation de sa durée de validité, à condition notamment de vivre en ménage commun avec lui. Toutefois et compte tenu de la séparation du couple, avant le décès de l’ex-époux de la recourante, les dispositions relatives à la dissolution de la famille s'appliquent à sa situation juridique actuelle (art. 50 LEI et ss).</w:t>
      </w:r>
    </w:p>
    <w:p>
      <w:r>
        <w:rPr>
          <w:b/>
        </w:rPr>
        <w:t>E. 3.2</w:t>
      </w:r>
    </w:p>
    <w:p>
      <w:r>
        <w:t>Selon l'art. 50 al. 1 let. a LEI, après dissolution de la famille, le droit du conjoint à l'octroi d'une autorisation de séjour et à la prolongation de sa durée de validité en vertu notamment de l'art. 43 LEI subsiste lorsque l'union conjugale a duré au moins 3 ans et que l'intégration est réussie. La limite légale de 3 ans se calcule en fonction de la durée pendant laquelle les époux ont fait ménage commun en Suisse (ATF 136 II 113 consid. 3.3.5 ; arrêt du Tribunal fédéral 2C_1111/2015 du 9 mai 2016 consid. 4.1), soit depuis la date du mariage, à condition que la cohabitation ait lieu en Suisse, jusqu'à ce que les époux cessent d'habiter sous le même toit (arrêts du Tribunal fédéral 2C_594/2010 du 24 novembre 2010 consid. 3.1 ; 2C_195/2010 du 23 juin 2010 consid. 5.1). En l'espèce, il ressort expressément de la convention de divorce du 17 avril 2019, signée par les deux ex-époux, qu’ils avaient décidé de se séparer durant l’été 2018. Le divorce a été prononcé par jugement du 17 décembre 2019. Quoi qu’il en soit, que ce soit l’une ou l’autre date qui doive être retenue, les époux ont cohabité moins de 3 ans depuis l’arrivée en Suisse de la recourante, le 15 juillet 2017. Il n'est donc pas nécessaire d'examiner la condition de la réussite de l'intégration lorsque l'union conjugale a duré moins de 3 ans, les deux conditions étant cumulatives (arrêt du Tribunal fédéral 2C_352/2014 du 18 mars 2015 consid. 4 ; ATA/1091/2018 du 16 octobre 2018 consid. 5a).</w:t>
      </w:r>
    </w:p>
    <w:p>
      <w:r>
        <w:rPr>
          <w:b/>
        </w:rPr>
        <w:t>E. 3.3</w:t>
      </w:r>
    </w:p>
    <w:p>
      <w:r>
        <w:t>Outre les hypothèses retenues à l'art. 50 al. 1 let. a LEI, le droit au renouvellement de l'autorisation de séjour existe également si la poursuite du séjour en Suisse s'impose pour des raisons personnelles majeures (art. 50 al. 1 let. b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Cette disposition a pour vocation d'éviter les cas de rigueur ou d'extrême gravité (ATF 137 II 1 consid. 3.1 ; arrêts du Tribunal fédéral 2C_500/2014 du 18 juillet 2014 consid. 7.1 ; 2C_165/2014 du 18 juillet 2014 consid. 3.1). L'art. 50 al. 1 let. b LEI vise à régler les situations qui échappent aux dispositions de l'art. 50 al. 1 let. a LEI, soit parce que le séjour en Suisse durant le mariage n'a pas duré 3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(ATF 138 II 393 consid. 3.1 ; 137 II 345 consid. 3.2.1 ; 137 II 1 consid. 3 ; arrêt du Tribunal administratif fédéral [ci-après : TAF] F-626/2019 du 22 mars 2021 consid. 8.1 ; ATA/215/2020 du 25 février 2020 consid. 6a). 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w:t>
      </w:r>
    </w:p>
    <w:p>
      <w:r>
        <w:rPr>
          <w:b/>
        </w:rPr>
        <w:t>E. 3.4</w:t>
      </w:r>
    </w:p>
    <w:p>
      <w:r>
        <w:t>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5.6.12). S'agissant de l'intégration professionnelle, celle-ci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précité consid. 6c et l'arrêt cité). S'agissant de la réintégration sociale dans le pays d'origine, l'art. 50 al. 2 LEI exige qu'elle soit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w:t>
      </w:r>
    </w:p>
    <w:p>
      <w:r>
        <w:rPr>
          <w:b/>
        </w:rPr>
        <w:t>E. 3.5</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précité consid. 5.2).</w:t>
      </w:r>
    </w:p>
    <w:p>
      <w:r>
        <w:rPr>
          <w:b/>
        </w:rPr>
        <w:t>E. 3.6</w:t>
      </w:r>
    </w:p>
    <w:p>
      <w:r>
        <w:t>En l’espèce, la recourante est arrivée légalement en Suisse le 15 juillet 2017, soit il y a 5 ans et demi. Elle a obtenu un permis de séjour à la suite de son mariage. La vie commune avec son ex-époux a duré moins de 3 ans. La recourante ne bénéficie pas d’une intégration particulière, notamment en termes de réseau, au‑delà de membres de sa famille, quand bien même elle allègue avoir la plupart de ses amis en Suisse. Elle ne dépend pas de l’aide sociale. Ses revenus sont toutefois inconnus. En particulier, elle n’étaye nullement que la société qu’elle a constituée réaliserait un chiffre d’affaires ou un bénéfice, ni de quel ordre. Elle n’a à cet égard pas produit de pièces, que ce soit devant le TAPI ou la chambre de céans. Il apparaît que la société en question a son siège à l’adresse privée de la recourante. Selon le formulaire de demande de renouvellement de son permis, elle aurait, comme indépendante, réalisé un revenu mensuel de l’ordre de CHF 9'500.-environ, ce qui n’est pas démontré. En tout état, le seul fait d’avoir fondé cette société, dont l’activité est inconnue, n’est pas constitutif d'une ascension professionnelle remarquable et ne l'a pas conduite à acquérir des connaissances professionnelles spécifiques à la Suisse qu'elle ne pourrait mettre à profit dans un autre pays, notamment son pays d'origine. Elle ne peut en conséquence pas se prévaloir d'une intégration professionnelle exceptionnelle au sens de la jurisprudence précitée. S'agissant de ses possibilités de réintégration dans son pays d'origine, voire en France où elle a vécu à tout le moins depuis l’école élémentaire maternelle, à lire son curriculum vitae, dès l’année 1995, jusqu’en juillet 2017, elle indique avoir de la famille proche en France voisine, dont sa mère. Elle ne soutient pas qu’elle ne pourrait pas bénéficier à nouveau d’un titre de séjour dans ce pays. La recourante, aujourd’hui âgée de 31 ans, est née au Congo, pays dont elle parle le dialecte, à savoir le lingala. Son père y vit encore et elle est retournée auprès de lui en février 2020, selon ce qu’elle a indiqué dans son acte de recours au TAPI. Dans ces circonstances, il ne ressort pas du dossier que les difficultés auxquelles elle devrait faire face en cas de retour en France, voire au Congo, seraient pour elle plus graves que pour la moyenne des étrangers retournant dans leur pays, respectivement dans celui où ils ont résidé pendant plus de 20 ans, comme en l’espèce. Au vu de ce qui précède, elle ne se trouve pas dans une situation de détresse personnelle au sens de l'art. 50 al. 1 let. b LEI. S'il est vrai qu'un retour dans son pays d'origine ou son avant dernier pays de résidence pourra engendrer pour elle certaines difficultés, elle ne se trouve pas dans une situation si rigoureuse que l'on ne saurait exiger son retour au Congo ou en France. Reste à déterminer si la naissance de sa fille le ______2022 modifie cette appréciation.</w:t>
      </w:r>
    </w:p>
    <w:p>
      <w:r>
        <w:rPr>
          <w:b/>
        </w:rPr>
        <w:t>E. 4.1</w:t>
      </w:r>
    </w:p>
    <w:p>
      <w:r>
        <w:t>Au cours de la procédure de recours, il n'est tenu compte des faits nouveaux que si la juridiction y est en général autorisée, si la décision ne sortit ses effets que dès la date de la décision sur recours et si l'économie de procédure l'impose. Le rôle de l'autorité de recours consiste non seulement à contrôler la solution qui a été adoptée, mais aussi à imposer celle qui est propre à mettre fin à la contestation (ATF 98 Ib 178 ; 92 I 327 ; 89 I 337 ). Or, en faisant abstraction des faits survenus après la décision attaquée, l'autorité de recours ouvrirait la porte à de nouvelles procédures et risquerait donc de laisser subsister le litige, sans contribuer toujours utilement à le trancher (André GRISEL, Traité de droit administratif, Vol. II, 1984, p. 932). Statuant sur les recours de droit administratif, le Tribunal fédéral prend en compte les faits nouveaux notamment dans le domaine de la police des étrangers (ATF 105 Ib 165 consid. 6b ; 105 Ib 163 ). À plusieurs reprises, la chambre de céans a tenu compte, d'office ou sur requête, de faits qui s'étaient produits après que la décision de première instance a été rendue ( ATA/1154/2020 du 17 novembre 2020 consid. 4b).</w:t>
      </w:r>
    </w:p>
    <w:p>
      <w:r>
        <w:rPr>
          <w:b/>
        </w:rPr>
        <w:t>E. 4.2</w:t>
      </w:r>
    </w:p>
    <w:p>
      <w:r>
        <w:t>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TAF C-636/2010 du 14 décembre 2010 consid. 5.4 et la référence citée ; ATA/91/2022 du 1er février 2022 consid. 2d).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w:t>
      </w:r>
    </w:p>
    <w:p>
      <w:r>
        <w:rPr>
          <w:b/>
        </w:rPr>
        <w:t>E. 4.3</w:t>
      </w:r>
    </w:p>
    <w:p>
      <w:r>
        <w:t>Le Tribunal fédéral a considéré que cette pratique différenciée réalisait la prise en compte de l'intérêt supérieur de l'enfant, telle qu'elle est prescrite par l'art. 3 al. 1 CDE ; arrêts du Tribunal fédéral 2A.679/2006 du 9 février 2007 consid. 3 ; 2A.43/2006 du 31 mai 2006 consid. 3.1 ; ATA/1004/2021 du 28 septembre 2021 consid. 3d).</w:t>
      </w:r>
    </w:p>
    <w:p>
      <w:r>
        <w:rPr>
          <w:b/>
        </w:rPr>
        <w:t>E. 4.4</w:t>
      </w:r>
    </w:p>
    <w:p>
      <w:r>
        <w:t>Selon l'art. 8 CEDH, toute personne a droit au respect de sa vie privée et familiale, de son domicile et de sa correspondance (al.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(al. 2). Pour pouvoir invoquer la protection familiale découlant de l'art. 8 § 1 CEDH, l'étranger doit entretenir une relation étroite et effective (ATF 131 II 265 consid. 5 ; 129 II 193 consid. 5.3.1) avec une personne de sa famille ayant le droit de résider durablement en Suisse (ATF 135 I 143 consid. 1.3.1 ; 130 II 281 consid. 3.1).</w:t>
      </w:r>
    </w:p>
    <w:p>
      <w:r>
        <w:rPr>
          <w:b/>
        </w:rPr>
        <w:t>E. 4.5</w:t>
      </w:r>
    </w:p>
    <w:p>
      <w:r>
        <w:t>Les relations familiales qui peuvent fonder un droit à une autorisation sont avant tout les rapports entre époux ainsi qu'entre parents et enfants mineurs vivant ensemble (ATF 135 I 143 consid. 1.3.2 ; ATA/434/2020 du 30 avril 2020 consid. 2b).</w:t>
      </w:r>
    </w:p>
    <w:p>
      <w:r>
        <w:rPr>
          <w:b/>
        </w:rPr>
        <w:t>E. 4.6</w:t>
      </w:r>
    </w:p>
    <w:p>
      <w:r>
        <w:t>Il n'y a cependant pas atteinte à la vie familiale si l'on peut attendre des personnes concernées qu'elles réalisent leur vie de famille à l'étranger ;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 2 CEDH, qui suppose de tenir compte de l'ensemble des circonstances et de mettre en balance l'intérêt privé à l'obtention d'un titre de séjour et l'intérêt public à son refus (ATF 144 I 91 consid. 4.2 et les références citées). Dans la pesée des intérêts, il faut aussi tenir compte de l'intérêt de l'enfant à maintenir des contacts réguliers avec son parent, objet de la mesure, ainsi que l'exige l'art. 3 CDE, étant toutefois précisé que, sous l'angle du droit des étrangers, cet élément n'est pas prépondérant par rapport aux autres et que la disposition en cause ne fonde pas une prétention directe à l'octroi ou au maintien d'une autorisation (ATF 144 I 91 consid. 5.2 et les références citées). L'intérêt de l'enfant est ainsi un élément d'appréciation dont l'autorité doit tenir compte lorsqu'il s'agit de mettre en balance les différents intérêts en présence (ATF 139 I 315 consid. 2.4 ; arrêt du Tribunal fédéral 2C_851/2014 du 24 avril 2015 consid. 4.2 ; ATA/434/2020 précité).</w:t>
      </w:r>
    </w:p>
    <w:p>
      <w:r>
        <w:rPr>
          <w:b/>
        </w:rPr>
        <w:t>E. 4.7</w:t>
      </w:r>
    </w:p>
    <w:p>
      <w:r>
        <w:t>Une considération importante à prendre en compte est celle de savoir si la vie familiale a été créée à un moment où les personnes impliquées étaient conscientes que le statut de l'un d'eux vis-à-vis des services de l'immigration était tel que la pérennité de la vie familiale dans l'État hôte serait dès le départ précaire : lorsque tel est le cas, le renvoi du membre étranger de la famille ne sera qu'exceptionnellement incompatible avec l'art. 8 CEDH (Arrêts de la Cour européenne des droits de l’homme Antwi et autres c. Norvège du 14 février 2012, req. n° 26940/10, § 89 ; Nunez c. Norvège du 28 juin 2011, req. n° 55597/09, § 70).</w:t>
      </w:r>
    </w:p>
    <w:p>
      <w:r>
        <w:rPr>
          <w:b/>
        </w:rPr>
        <w:t>E. 4.8</w:t>
      </w:r>
    </w:p>
    <w:p>
      <w:r>
        <w:t>En l’espèce, il n’est à l’évidence pas question de considérer que le renvoi du bébé de la recourante dans le pays d’origine de sa mère ou par exemple en France constituerait un déracinement. La recourante ne démontre pas qu’elle cohabiterait effectivement avec l’homme qui serait le père de sa fille. Quand bien même il doit être tenu compte du fait que celle‑ci pourrait encore être hospitalisée en néonatologie, ce qui n’a pas été allégué ni étayé par un quelconque document médical actualisé, force est de retenir que la recourante ne démontre pas former un noyau familial en Suisse avec son compagnon. La paternité de E______ sur l’enfant n’est en l’état pas démontrée. Le fait que celui-ci atteste avoir engagé des démarches auprès des autorités allemandes et suisses pour la reconnaissance de la fille de la recourante ne suffit pas à cet égard. Il est rappelé le devoir de collaboration de la recourante tel qu’ancré à l’art. 90 LEI. Or, bien que celle-ci ait eu connaissance des réserves expresses de l’OCPM sur ces deux points, du ménage commun et de la paternité sur sa fille, telles qu’exprimées le 28 novembre 2022, elle n’a pas fait usage de son droit à la réplique et partant n’a déposé aucune pièce complémentaire à même d’éclairer l’autorité. Par ailleurs, au moment où l’enfant a été conçue, la recourante savait que l’OCPM n’avait pas l’intention de renouveler son autorisation de séjour, puisqu’elle avait connaissance tant de la lettre d’intention de l’OCPM du 24 novembre 2021 que de la décision litigieuse du 1 er février 2022, antérieures à cette conception. Si l’intérêt de sa fille doit être pris en considération, en particulier les liens dont elle doit bénéficier avec son père, rien ne semble s’opposer à ce que la recourante aille s’installer par exemple en France voisine, où vit notamment sa propre mère. Les relations entre père et fille pourront ainsi effectivement se nouer. En conséquence, la recourante ne peut se prévaloir de l’art. 8 CEDH pour s’opposer à son renvoi. Il résulte ainsi de l'ensemble de ces circonstances que la situation de la fille de la recourante n'est pas constitutive d'un cas d'extrême gravité, et que le non‑renouvellement de l’autorisation de séjour de sa mère est conforme au droit. Reste à examiner la question de la situation médicale de D______.</w:t>
      </w:r>
    </w:p>
    <w:p>
      <w:r>
        <w:rPr>
          <w:b/>
        </w:rPr>
        <w:t>E. 5.1</w:t>
      </w:r>
    </w:p>
    <w:p>
      <w:r>
        <w:t>Selon l'art. 64 al. 1 let. c LEI,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rPr>
          <w:b/>
        </w:rPr>
        <w:t>E. 5.2</w:t>
      </w:r>
    </w:p>
    <w:p>
      <w:r>
        <w:t>En l'espèce, dès lors qu'il a, à juste titre, refusé le renouvellement de l'autorisation de séjour à la recourante, l'intimé devait prononcer son renvoi. Pour le surplus, aucun motif ne permet de retenir que l'exécution du renvoi ne serait pas possible, licite ou ne pourrait raisonnablement être exigé la concernant, au-delà de la prise en compte de la situation de son bébé. À cet égard, l’OCPM doit être suivi lorsqu’il explique qu’aucun document médical actualisé n’a été produit en lien avec le statut de l’enfant née prématurément à moins de 25 semaines, il y a désormais plus de 3 mois. Il a toutefois indiqué qu’il aménagerait le délai et les conditions de départ de la recourante afin de correspondre aux recommandations que les médecins auront émises le moment venu. Il lui en est donné acte. Au vu de ce qui précède, le recours sera rejeté.</w:t>
      </w:r>
    </w:p>
    <w:p>
      <w:r>
        <w:rPr>
          <w:b/>
        </w:rPr>
        <w:t>E. 6</w:t>
      </w:r>
    </w:p>
    <w:p>
      <w:r>
        <w:t>Vu l’issue du litige, un émolument de CHF 400.- sera mis à la charge de la recourante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