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A/757/2004 vom 25. August 2005</w:t>
      </w:r>
    </w:p>
    <w:p>
      <w:r>
        <w:t>GE Cour de justice, 2005-08-25, FR</w:t>
      </w:r>
    </w:p>
    <w:p>
      <w:r>
        <w:rPr>
          <w:b/>
        </w:rPr>
        <w:t xml:space="preserve">Quelle: </w:t>
      </w:r>
      <w:r>
        <w:t>https://mcp.opencaselaw.ch/entscheid/ge_gerichte_A_757_2004</w:t>
      </w:r>
    </w:p>
    <w:p>
      <w:r>
        <w:t>FR: GE_GERICHTE A/757/2004 du 25 août 2005</w:t>
      </w:r>
    </w:p>
    <w:p>
      <w:r>
        <w:t>IT: GE_GERICHTE A/757/2004 del 25 agosto 2005</w:t>
      </w:r>
    </w:p>
    <w:p>
      <w:pPr>
        <w:pStyle w:val="Heading2"/>
      </w:pPr>
      <w:r>
        <w:t>Erwägungen</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le 8 avril 2004 contre la décision sur opposition du 24 mars 2004 de l’OCAI, le recours est recevable à la forme conformément aux art. 56, 59 et 60 LPGA.</w:t>
      </w:r>
    </w:p>
    <w:p>
      <w:r>
        <w:rPr>
          <w:b/>
        </w:rPr>
        <w:t>E. 5</w:t>
      </w:r>
    </w:p>
    <w:p>
      <w:r>
        <w:t>L’objet du litige porte sur le droit de la recourante à une rente d’invalidité. Singulièrement, il s’agit de savoir si et, le cas échéant, dans quelle mesure les troubles dont elle est affectée ont ou non un caractère invalidant.</w:t>
      </w:r>
    </w:p>
    <w:p>
      <w:r>
        <w:rPr>
          <w:b/>
        </w:rPr>
        <w:t>E. 6</w:t>
      </w:r>
    </w:p>
    <w:p>
      <w:r>
        <w:t>a) Selon l’art. 4 LAI, l’invalidité est la diminution de la capacité de gain présumée permanente ou de longue durée qui résulte d’une atteinte à la santé physique ou mentale provenant d’une infirmité congénitale, d’une maladie ou d’un accident (cf. également art. 8 LPGA). La circulaire concernant l’invalidité et l’impotence (ci-après CIIAI) précise que l’invalidité ainsi comprise comporte trois éléments constitutifs, à savoir une atteinte à la santé, une incapacité de gain, et un rapport de causalité entre l’atteinte à la santé et l’incapacité de gain (ch. 1001 CIIAI). Le ch. 1015 de ladite circulaire souligne que les troubles psychiques qui sont provoqués principalement par des circonstances extérieures, tel que le surmenage causé par l’exercice de plusieurs professions ou un milieu défavorable, mais qui disparaissent si les circonstances sont modifiées d’une manière raisonnablement exigible, n’ont en eux-mêmes pas valeur d’invalidité. De même, les troubles psychiques provoqués principalement par des particularités comportementales de nature socio-culturelle, ethnique ou familiale ainsi que les difficultés psychiques causées en premier lieu par l'émigration (déracinement et acclimatation), n'ont, en eux-mêmes, pas valeur d'invalidité. Celles-ci peuvent toutefois constituer des facteurs aggravants d'importance variable selon les individus et favoriser l'apparition de troubles psychogènes. En ce qui concerne le lien de causalité entre l’incapacité de gain et l’atteinte à la santé, l’on ne saurait parler d’invalidité que si l’incapacité de gain ou l’incapacité de travail spécifique résulte d’une atteinte à la santé physique, mentale ou psychique. Il doit dès lors exister un lien de causalité entre ces deux éléments. Cependant, une personne qui ne présenterait pas une incapacité de travail au moins partielle ne peut prétendre à une incapacité de gain et, dès lors ne peut être considérée comme invalide. En particulier, il n’y a pas de lien de causalité et l’on n’est pas en présence d’un cas d’invalidité lorsque l’incapacité de gain n’a pas été provoquée par une atteinte à la santé, mais par d’autres facteurs, notamment par la situation économique ou pour des raisons inhérentes à la personnalité de l’assuré, tel par exemple un manque d’ardeur au travail (CIIAI chiffres 1022 et suivants). b) Parmi les atteintes à la santé psychique, qui peuvent, comme les atteintes physiques, provoquer une invalidité au sens des art. 8 LPGA et 4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où qu’elle serait même insupportable pour la société (ATF 102 V 165 ; VSI 1996 page 318 consid. 2a, page 321 consid. 1a, page 424 consid. 1a ; RCC 1992 page 182 consid. 2a et les références).</w:t>
      </w:r>
    </w:p>
    <w:p>
      <w:r>
        <w:rPr>
          <w:b/>
        </w:rPr>
        <w:t>E. 7</w:t>
      </w:r>
    </w:p>
    <w:p>
      <w:r>
        <w:t>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w:t>
      </w:r>
    </w:p>
    <w:p>
      <w:r>
        <w:rPr>
          <w:b/>
        </w:rPr>
        <w:t>E. 8</w:t>
      </w:r>
    </w:p>
    <w:p>
      <w:r>
        <w:t>En l’espèce, le Dr L__________, dans son rapport du 27 mars 2000, a diagnostiqué une fibromyalgie et un état dépressif, mentionnant que le fonctionnement intellectuel de la patiente n’était pas normal, que son comportement n’était pas acceptable pour son entourage et que, de surcroît, sa motivation pour une reprise du travail ou un reclassement professionnel était faible. Il a estimé que la reprise d’une activité n’était pas raisonnablement exigible. Le 5 décembre 2000, le Dr N__________ a confirmé ce diagnostic mais a considéré qu’une activité légère était possible. Ces documents médicaux, trop succincts, n’ont pas permis à la Commission de recours AVS-AI de se prononcer, d’où la mise en œuvre de l’expertise psychiatrique qui, quant à elle, répond à tous les réquisits jurisprudentiels mentionnés ci-dessus. Dans son rapport d’expertise du 4 juin 2003, le Dr O__________ a estimé que, pour des raisons de santé pure, la capacité de travail de la recourante avait été limitée de 50 à 100 % selon les périodes dès septembre 1990, étant précisé que l’assurée n’avait pas pu travailler avant décembre 1993, devant s’occuper de ses enfants et qu’alors, sa capacité de travail était déjà restreinte. Au moment de l’expertise, la limitation due aux troubles psychiques était, selon l’expert, de 100%. Il a posé trois diagnostics distincts. D’abord une hypomanie (ou exaltation maniaque) qui, depuis l’arrivée en Suisse de la recourante en 1990, s’est transformée en manie dysphorique, soit un état associant une humeur irritable, agressive avec des éléments d’accélération, excitation et sommeil raccourci, les effets dépressifs étant fluctuants. Ensuite, un trouble obsessionnel compulsif avec pensées ou ruminations au premier plan. Finalement, un syndrome douloureux somatoforme dominant la vie de la patiente, mais d’une importance secondaire sur le plan psychiatrique. Il a souligné que les conflits émotionnels et les problèmes psychosociaux préexistaient et découlaient des pathologies affectives et obsessionnelles. L’expert a mis en exergue que les douleurs dont se plaignait la patiente disparaissaient « comme par enchantement » aussitôt qu’elle était de retour au Portugal. De fait, la symptomatologie disparaissait dès qu’elle s’installait dans l’avion, ne se manifestant plus que par quelques algies tenaces mais non handicapantes. Il a clairement attribué ces affections à des difficultés d’émigration, l’assurée ne s’étant jamais adaptée à la vie en Suisse, parlant notamment mal le français, et n’ayant pour seul projet que de retourner vivre au pays.</w:t>
      </w:r>
    </w:p>
    <w:p>
      <w:r>
        <w:rPr>
          <w:b/>
        </w:rPr>
        <w:t>E. 9</w:t>
      </w:r>
    </w:p>
    <w:p>
      <w:r>
        <w:t>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bilan psychiatrique tels, par exemple, une dépression durable au sens médical ou un état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5a in fine; VSI 2000 p. 155 consid. 3). Le rapport d’expertise et les pièces au dossier font ressortir sans ambiguïté que le trouble dont souffre l’assurée est essentiellement attribuable aux difficultés liées à l’émigration ainsi qu’à des facteurs psychosociaux. En effet, les douleurs dont elle se plaint disparaissent lorsqu’elle retourne dans son pays d’origine. La recourante a admis elle-même que ces troubles existaient depuis 1990 et qu’elle avait été constamment malade depuis son installation en Suisse (cf. courriers du 12 juillet 2001 et du 15 janvier 2004). Par ailleurs, lorsqu’elle a travaillé de manière saisonnière en 1986 et 1987, elle a déjà rencontré des problèmes de santé. Dans ces circonstances, on ne saurait retenir que l’affection psychique dont souffre la recourante, essentiellement liée à un problème d’adaptation, revêt un caractère invalidant, au sens de la loi. De même, force est de constater que l’assurée ne présente pas une diminution de gain permanente ou de longue durée (art. 29 al. 1 LAI), puisque les douleurs disparaissent lorsqu’elle rentre au Portugal et dans la mesure où, ultérieurement au dépôt de sa demande de prestations, elle a été capable de reprendre un travail auprès de X__________ SA, dès mai 2001. C’est dès lors à juste titre que l’intimé s’est écarté des conclusions de l’expert psychiatre qui estimait que la limitation de la capacité de travail devait être fixée à 100%.</w:t>
      </w:r>
    </w:p>
    <w:p>
      <w:r>
        <w:rPr>
          <w:b/>
        </w:rPr>
        <w:t>E. 10</w:t>
      </w:r>
    </w:p>
    <w:p>
      <w:r>
        <w:t>L’intimé a également fait valoir à titre subsidiaire que l’assurée ne comptait pas une année de cotisation à l’échéance du délai de carence (art. 36 al. 1 LAI). Le Tribunal constate qu’effectivement, selon le Dr O__________, la capacité de travail était déjà limitée de 50 à 100% en 1990. La question peut toutefois rester ouverte en l’absence d’invalidité reconnue.</w:t>
      </w:r>
    </w:p>
    <w:p>
      <w:r>
        <w:rPr>
          <w:b/>
        </w:rPr>
        <w:t>E. 11</w:t>
      </w:r>
    </w:p>
    <w:p>
      <w:r>
        <w:t>Eu égard à ce qui précède, le recours est rejeté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