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A/754/2020 vom 15. Juni 2021</w:t>
      </w:r>
    </w:p>
    <w:p>
      <w:r>
        <w:t>GE Cour de justice, 2021-06-15, FR</w:t>
      </w:r>
    </w:p>
    <w:p>
      <w:r>
        <w:rPr>
          <w:b/>
        </w:rPr>
        <w:t xml:space="preserve">Quelle: </w:t>
      </w:r>
      <w:r>
        <w:t>https://mcp.opencaselaw.ch/entscheid/ge_gerichte_A_754_2020</w:t>
      </w:r>
    </w:p>
    <w:p>
      <w:r>
        <w:t>FR: GE_GERICHTE A/754/2020 du 15 juin 2021</w:t>
      </w:r>
    </w:p>
    <w:p>
      <w:r>
        <w:t>IT: GE_GERICHTE A/754/2020 del 15 giugno 2021</w:t>
      </w:r>
    </w:p>
    <w:p>
      <w:pPr>
        <w:pStyle w:val="Heading2"/>
      </w:pPr>
      <w:r>
        <w:t>Erwägungen</w:t>
      </w:r>
    </w:p>
    <w:p>
      <w:r>
        <w:rPr>
          <w:b/>
        </w:rPr>
        <w:t>E. 2</w:t>
      </w:r>
    </w:p>
    <w:p>
      <w:r>
        <w:t>ème chambre En la cause Monsieur A______, domicilié ______, à CHÊNE-BOUGERIES, comparant avec élection de domicile en l'étude de Maître François MEMBREZ recourant contre CAISSE CANTONALE GENEVOISE DE COMPENSATION, Service juridique, sise Rue des Gares 12, GENÈVE intimée EN FAIT 1.        Le 12 mai 2000 a été inscrite au registre du commerce (ci-après : RC) la société à responsabilité limitée qui a pris le 13 février 2007 la raison sociale B______Sàrl (ci-après : la société), sise dans le canton de Genève, qui était active dans les installations sanitaires et dont Monsieur A______ a été associé-gérant (ci-après : l’associé-gérant, l’intéressé ou le recourant) dès 2003. Par jugement du Tribunal de première instance (TPI) du 29 octobre 2018, elle a été dissoute par suite de faillite avec effet à partir du même jour. 2.        Le 26 janvier 2016, la Caisse cantonale genevoise de compensation (ci-après : la caisse ou l’intimée) a adressé à l’intéressé la facture finale pour les cotisations salariales de 2015, le 6 février 2017 pour celles de 2016, le 6 février 2018 pour celles de 2017. 3.        a. Par décision du 4 novembre 2019, la caisse a exigé de l’associé-gérant le versement dans les trente jours de la somme de CHF 95'533.75 représentant les cotisations salariales paritaire de la société selon le décompte annexé, y compris les frais et les intérêts moratoires, due en réparation du dommage correspondant à la créance de la caisse qui ne serait pas couverte dans le cadre de la faillite, étant précisé que la consultation de l’état de collocation, publié le 26 mars 2019, avait révélé un dividende prévisible de 0 %. b. Ledit décompte portait sur les cotisations salariales paritaires, plus précisément celles de l’assurance-vieillesse et survivants (ci-après : AVS)/assurance-invalidité (ci-après : AI)/allocations de perte de gain (ci-après : APG), des allocations familiales (ci-après : AF), de l’assurance-chômage obligatoire et indemnité en cas d’insolvabilité (ci-après : AC) et de l’assurance-maternité cantonale (ci-après : AMat). Il est précisé que les montants des frais administratifs énoncés ci-après représentent 2,621 % des cotisations AVS/AI/APG et les cotisations AMat entre 2015 et 2017 0,082 % et en 2018 0,092 % des salaires. En 2015, les cotisations, frais et intérêts moratoires se montaient à CHF 64'336.05 au total, y compris CHF 38'026.- de cotisations AVS/AI/APG, CHF 8'122.05 de cotisations AC, CHF 8'860.45 de contributions AF et CHF 302.75 de cotisations AMat, CHF 996.65 de frais administratifs, CHF 2'700.- de frais de sommations et CHF 4'521.85 d’intérêts moratoires, dont à déduire notamment un versement de CHF 55'061.60, soit à payer CHF 8'954.70. En 2016, la somme totale des cotisations, frais et intérêts moratoires s’élevait à CHF 52'870.85, y compris CHF 30'502.75 de cotisations AVS/AI/APG, CHF 6'546.95 de cotisations AC, CHF 7'290.90 de contributions AF et CHF 244.- de cotisations AMat, CHF 799.50 de frais administratifs, CHF 1’850.- de frais de sommations et CHF 4'618.55 d’intérêts moratoires, dont à déduire notamment un versement de CHF 21'942.55, soit à payer CHF 30'579.10. En 2017, les cotisations, frais et intérêts moratoires se chiffraient à CHF 44'112.95 au total, y compris CHF 26'330.60 de cotisations AVS/AI/APG, CHF 5'651.45 de cotisations AC, CHF 6'293.65 de contributions AF et CHF 210.65 de cotisations AMat, CHF 690.15 de frais administratifs, CHF 1’800.- de frais de sommations et CHF 1'344.60 d’intérêts moratoires, dont à déduire aucun versement mais seulement une redistribution de la taxe CO2, soit à payer CHF 43'812.45. En 2018, le montant total des cotisations, frais et intérêts moratoires s’élevait à CHF 12'623.15, y compris CHF 7'263.25 de cotisations AVS/AI/APG, CHF 1'558.95 de cotisations AC, CHF 1'736.10 de contributions AF et CHF 65.20 de cotisations AMat, CHF 190.35 de frais administratifs, CHF 1'000.- de frais de sommations et CHF 254.85 d’intérêts moratoires, dont à déduire aucun versement mais seulement une redistribution de la taxe CO2, soit à payer CHF 12'187.50. Il en résultait la somme totale due de CHF 95'533.75. 4.        Par écrit du 4 décembre 2019, l’intéressé a formé opposition contre cette décision. Selon lui, il n’avait pas commis de faute dans la gestion de la société, avait fait de son mieux pour payer tous les salaires et les frais qui étaient importants alors que le chiffre d’affaires progressait difficilement, voire reculait à charges constantes, et avait souhaité sauver la société petit à petit sans toutefois y parvenir. Dans ces circonstances, il ne pouvait pas être mis à sa charge les cotisations sociales, dont il contestait par ailleurs le montant réclamé. 5.        Par décision sur opposition rendue le 28 janvier 2020, notifiée le 31 janvier suivant, la caisse a rejeté cette opposition. D’après elle, notamment, on ne voyait pas de motif objectif susceptible de justifier le défaut de paiement des cotisations. L’associé-gérant n’avait ainsi pas fait le nécessaire en vue de veiller à l’exécution des obligations d’employeur de la société. 6.        Par acte déposé le 2 mars 2020 par un avocat au greffe de la chambre des assurances sociales de la Cour de justice (ci-après : la chambre des assurances sociales ou la chambre de céans), l’intéressé a interjeté recours contre cette décision sur opposition, concluant à son annulation et, principalement, à la constatation qu’il ne devait pas à la caisse les cotisations paritaires AVS/AI/APG, AMat et cotisations dues au régime des AF pour les employés, de la société, subsidiairement, au renvoi de la cause à l’intimée pour nouvelle décision dans le sens des considérants. Selon lui, la caisse n’avait pas prouvé avoir produit sa créance dans la faillite de la société et elle avait ainsi contribué à aggraver le dommage, de sorte qu’elle était déchue de son droit à demander réparation. Faute de base juridique particulière, ni les intérêts moratoires ni les frais administratifs ne pouvaient être réclamés. Conformément à la jurisprudence de la chambre des assurances sociales, il ne pouvait pas être recherché pour le non-paiement des cotisations AMat. 7.        Dans sa réponse du 10 juin 2020, l’intimée a contesté les griefs du recourant et a conclu au rejet du recours. Il ressort entre autres de son dossier produit qu’elle avait, le 12 février 2019, adressé à l’office des poursuites une « production définitive AVS/AI/APG/assurance-chômage - AF-assurance-maternité » portant sur des créances privilégiées en 2 ème classe de CHF 89'889.92 et à colloquer en 3 ème classe de CHF 7'810.30, et que, le 12 juin 2019, elle s’était vu notifier des actes de défaut de biens après faillite pour ces deux montants. 8.        Dans sa réplique du 24 août 2020, l’associé-gérant a nié avoir fait preuve de négligence relativement au paiement des cotisations sociales dues et a, « en résumé », contesté devoir les postes suivants issus du décompte de la caisse susmentionné : les intérêts moratoires, non justifiés et couverts par un accord tacite de délai de paiement, les cotisations AMat et les frais de sommation. 9.        Sur ce, la cause a été gardée à juger. EN DROIT 1.        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LAMat. Sa compétence pour juger du cas d’espèce est ainsi établie. 2.        a. Interjeté dans le délai et la forme requise, le recours est recevable (art. 38 al. 3 et 60 LPGA et 89B de la loi sur la procédure administrative du 12 septembre 1985 [LPA – E 5 10]). b. Le recourant a pris, à titre principal, une conclusion constatatoire tendant à nier sa dette en matière de cotisations envers l’intimée. Or, les conclusions tendant à l’annulation des décisions englobent de telles conclusions constatatoires, qui sont dès lors irrecevables puisqu’elles n'ont qu'un caractère préparatoire. En effet, des conclusions constatatoires ne sont admissibles que s'il existe un intérêt juridique ou de fait digne de protection à ce qu'elles soient accordées qui ne peut être pleinement sauvegardé par une conclusion formatrice (arrêt du Tribunal fédéral 9C_105/2016 du 5 avril 2016 consid. 1.1 ; ATAS/79/2020 du 30 janvier 2020 consid.2). 3.        L'objet du litige porte sur la responsabilité du recourant pour le dommage subi par l’intimée du fait du défaut de paiement des cotisations sociales par la société. 4.        a.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b. L’al. 3 de l’art. 52 LAVS régissant la responsabilité de l’employeur a été modifié le 1 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En vertu de l'art. 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a. À titre liminaire, il convient d’examiner si tout ou partie des prétentions de la caisse seraient éventuellement prescrites. b. Les délais prévus par l’art. a52 al. 3 LAVS doivent être qualifiés de délais de prescription et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Un dommage se produit notamment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c. En l’espèce, le dommage s’est produit le 29 octobre 2018, soit au moment de la dissolution de la société par voie de faillite. En adressant au recourant le 4 novembre 2019 une décision en réparation du dommage, l’intimée a agi dans le délai de prescription de deux ans. Elle l’a ainsi valablement interrompu à ce moment-là, ainsi qu’ultérieurement, au sens des dispositions précitées. Quant au délai de prescription de cinq ans, il n’est pas non plus échu. 6.        Cela étant, tout d’abord, dans son recours, le recourant fait valoir que la caisse n’aurait pas prouvé avoir produit sa créance dans la faillite de la société et qu’elle aurait ainsi contribué à aggraver le dommage, de sorte qu’elle serait déchue de son droit à demander réparation. Certes, comme invoqué par l’associé-gérant, selon les art. 4 de la loi fédérale sur la responsabilité de la Confédération, des membres de ses autorités et de ses fonctionnaires du 14 mars 1958 (loi sur la responsabilité, LRCF - RS 170.32) et 44 al. 1 CO, applicables par analogie, l’obligation de l’employeur de réparer le dommage peut être réduite, si et dans la mesure où la survenance du dommage, ou son aggravation, est en relation de causalité adéquate avec une violation grave, par l’administration, des obligations qui lui incombent (ATF 122 V 185 ). Cela est notamment le cas lorsque la caisse de compensation ne respecte pas les règles élémentaires sur la taxation d’office et la perception des cotisations (Office fédéral des assurances sociales [OFAS], Directives sur la perception des cotisations dans l’AVS, AI et APG [DP], état au 1 er janvier 2021, ch. 8040). En l’occurrence, indépendamment de la pertinence du grief du recourant – qui peut demeurer indécise –, l’intimée a en tout état de cause, contrairement à ce qu’il prétend, produit ses créances dans la faillite de la société et a même obtenu des actes de défaut de biens pour celles-ci, de sorte que ce grief du recourant est dénué de tout fondement. 7.        a. Apparemment dans le cadre du grief précédent, l’intéressé conteste, dans sa réplique, avoir fait preuve de négligence par rapport à ses obligations en matière de cotisations sociales. b. L'obligation légale de réparer le dommage ne doit être reconnue que dans les cas où le dommage est dû à une violation intentionnelle ou par négligence grave, par l'employeur, des prescriptions régissant l’AVS (RCC 1978 p. 259 ; RCC 1972 p. 687 ; ATAS/356/2020 du 7 mai 2020 consid. 12). Il faut donc un manquement d'une certaine gravité. Pour savoir si tel est le cas, il convient de tenir compte de toutes les circonstances du cas concret (ATF 121 V 243 consid. 4b).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Il n'y a pas obligation de réparer le dommage lorsqu’il existe une circonstance justifiant le comportement fautif de l'employeur ou excluant l'intention et la négligence grave. À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189 consid. 2b). Ainsi, il peut arriver qu'en retardant le paiement de cotisations, l'employeur parvienne à maintenir son entreprise en vie, par exemple lors d'une passe délicate dans la trésorerie. Pour qu'un tel comportement ne tombe pas ultérieurement sous le coup de l'art. 52 LAVS, il faut que l'on puisse admettre que l'employeur avait, au moment où il a pris sa décision, des raisons sérieuses et objectives de penser qu'il pourrait s'acquitter des cotisations dues dans un délai raisonnable (arrêt du Tribunal fédéral 9C_338/2007 du 21 avril 2008 consid. 3.1).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Un manque de liquidités n’est pas un motif d’exculpation (Ueli KIESER, Rechtsprechung zur AHV, 3ème éd., n. 51 ad art. 52). c. Or, dans le cas présent, l’associé-gérant, qui était de manière incontestée – et incontestable – un organe formel de la société (à ce sujet notamment ATAS/79/2020 précité consid. 7) durant la période sur laquelle porte le non-paiement des cotisations en cause, soit de 2015 à 2018, n’a pas invoqué une circonstance susceptible le cas échéant de justifier la violation de cette obligation légale par l'employeur – ou par son organe, ici lui-même – ou excluant l'intention ou la négligence grave, se contentant de relever, de manière générale, les contraintes qui pèsent sur les patrons de petites et moyennes entreprises (PME) dans un contexte fort concurrentiel où ils tentent de maintenir l’emploi. Le simple fait que le recourant ait réglé des montants de cotisations, en particulier des acomptes sur arriérés, montre certes un respect de ses obligations au sujet de l’acquittement d’une partie des cotisations sociales, mais n’exclut aucunement sa responsabilité relativement au solde non payé des cotisations dues par la société. L’intention ou la négligence grave de la part de l’intéressé au sens de l’art. 52 al. 1 LAVS est donc établie. 8.        a. Le dommage comprend les cotisations dues en vertu de la LAVS (art. 52), de la LAI (art. 66 2 ème phrase), de la LAPG (art. 21 al. 2, 2 ème phrase), de la loi fédérale du 20 juin 1952 sur les allocations familiales dans l'agriculture (LFA - RS 836.1 ; art. 25 al. 3), de la LAFam (art. 25 let. c) et de la LACI (art. 6 ; Mélanie FRETZ, La responsabilité selon l’art. 52 LAVS : une comparaison avec les art. 78 LPGA et 52 LPP, in REAS 2009 p. 238 ss, 240). En revanche, s’agissant des cotisations AMat, la chambre de céans a récemment constaté, dans l’arrêt ATAS/79/2020 précité, que la LAMat ne reprenait pas la responsabilité prévue à l’art. 52 LAVS, ni ne prévoyait l’application de cette loi par analogie, mais renvoyait uniquement à la LAPG et plus précisément – mais certes non exclusivement – à des dispositions sans lien avec la responsabilité de l’employeur. Ce renvoi en chaîne, qui n’évoque ni la responsabilité de l’employeur, ni même les dispositions matérielles de la LAVS, ne satisfait pas aux exigences découlant du principe de la légalité, notamment en matière de précision et de prévisibilité, dont le respect doit être apprécié avec rigueur. En d’autres termes, il n’existe pas de base légale à la responsabilité des organes d’une société pour le dommage résultant du défaut de paiement des cotisations dues en vertu de la LAMat ( ATAS/79/2020 précité consid. 14 ; ATAS/769/2020 du 11 septembre 2020 consid. 14). b. En conséquence, et quand bien même l’intimée conteste le bien-fondé de cette jurisprudence de la chambre de céans, les cotisations AMat devront être déduites du montant du dommage. 9.        a. Le recourant conteste ensuite devoir des intérêts moratoires, des frais administratifs et des frais de sommation. b. Si la créance en réparation du dommage au sens de l’art. 52 LAVS ne porte pas intérêt (ATF 119 V 78 consid. 5 ; OFAS, DP, ch. 8064), le dommage lui-même inclut les intérêts prévus par l’art. 26 LPGA en cas de retard dans le paiement des cotisations ( ATAS/79/2020 précité consid. 14), en lien avec l’art. 41 bis RAVS, jusqu'à la délivrance d'un acte de défaut de biens en cas de poursuite par voie de saisie (art. 149 al. 4 de la loi fédérale sur la poursuite pour dettes et la faillite du 11 avril 1889 [LP - RS 281.1]) ou jusqu'à l'ouverture de la faillite (art. 209 LP ; ATAS/386/2020 du 14 mai 2020 consid. 9b ; Mélanie FRETZ, op. cit., p. 240). Font aussi partie du dommage au sens de l’art. 52 LAVS les frais administratifs – ou contributions aux frais d’administration –, prévus à l’art. 69 al. 1 LAVS, qui prévoit en substance que les caisses de compensation perçoivent des contributions de leurs affiliés pour couvrir ces frais ( ATAS/386/2020 précité consid. 9b ; ATAS/79/2020 précité consid. 14 ; Mélanie FRETZ, op. cit., p. 240). Il en va de même des frais de sommation, prévus par l’art. 34a RAVS, à teneur de l’al. 1 duquel les personnes tenues de payer des cotisations qui ne les versent pas ou ne remettent pas le décompte relatif aux cotisations paritaires dans les délais prescrits recevront immédiatement une sommation écrite de la caisse de compensation ( ATAS/386/2020 précité consid. 9b ; ATAS/79/2020 précité consid. 14 ; Mélanie FRETZ, op. cit., p. 240). c. Partant, contrairement à ce que soutient l’associé-gérant, la perception par la caisse d’intérêts moratoires, de frais administratifs et de frais de sommation repose sur une base légale. En outre, la perception d’intérêts moratoires ne nécessitait pas qu’ils aient été ou n’aient pas été couverts par un « accord tacite de délai de paiement » (réplique p. 2). d. Par ailleurs, l’intéressé ne remet pas en cause le calcul en tant que tel des intérêts moratoires arrêtés par la caisse, étant précisé qu’en vertu de l’art. 42 al. 2 RAVS, le taux des intérêts moratoires et rémunératoires s’élève à 5 % par année. Concernant les frais administratifs, il ressort de l’art. 1 de l’ordonnance du Département fédéral de l’intérieur (DFI) sur le taux maximum des contributions aux frais d’administration dans l’AVS du 19 octobre 2011 (RS 831.143.41), édictée sur délégation de l’art. 157 RAVS, que les contributions aux frais d’administration perçues par la caisse conformément à l’art. 69 al. 1 LAVS ne devaient pas dépasser 5 % de la somme des cotisations que devait verser la société, employeur. Dans le cas présent, une vérification effectuée d’office permet d’exclure un tel dépassement. Pour le reste, rien ne permet de supposer que les frais administratifs n’auraient pas été fixés de manière correcte par l’intimée. Pour ce qui est des frais de sommation, l’intimée a indiqué, dans sa réponse, que la société, qui était censée payer des acomptes mensuels, s’était vue adresser trente-six factures, rappels, sommations et commandements de payer « pour les trois périodes en cause », précisant ne produire, par économie de procédure, que les factures annuelles définitives ainsi que les actes de défaut de biens pertinents. Le recourant n’a pas contesté cette allégation, qui peut dès lors être considérée comme établie. Or, conformément à l’art. 34a RAVS, la sommation est assortie d’une taxe de CHF 20.- à CHF 200.-. Dans ces circonstances, au regard notamment des très nombreuses sommations, c’est sans fondement que le recourant fait valoir, dans sa réplique, que, s’élevant à plusieurs milliers de CHF, les frais de sommation étaient disproportionnés. e. En définitive, les griefs du recourant afférents aux intérêts moratoires, frais administratifs et frais de sommation n’apparaissent pas fondés. Néanmoins, les intérêts moratoires devront être recalculés vu l’absence de prise en compte, pour le dommage, des cotisations AMat. Ceci ne sera pas nécessaire pour les frais administratifs, dont le montant ne dépendait pas desdites cotisations, ni pour les frais de sommation, au regard notamment de la modicité des cotisations AMat (qui sont désormais exclues du dommage) par rapport à l’ensemble des cotisations non payées. 10.    Vu ce qui précède, le recours sera très partiellement admis, dans cette seule mesure, et rejeté pour le surplus. 11.    Vu l'issue du litige et l’admission très partielle du recours, une indemnité réduite de CHF 300.- sera allouée au recourant (art. 61 let. g LPGA). 12.    Pour le reste, la procédure est gratuite (art. 61 let. a LPGA, applicable ratione temporis vu l’art. 83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