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A/753/2024 vom 17. Dezember 2024</w:t>
      </w:r>
    </w:p>
    <w:p>
      <w:r>
        <w:t>GE Cour de justice, 2024-12-17, FR</w:t>
      </w:r>
    </w:p>
    <w:p>
      <w:r>
        <w:rPr>
          <w:b/>
        </w:rPr>
        <w:t xml:space="preserve">Quelle: </w:t>
      </w:r>
      <w:r>
        <w:t>https://mcp.opencaselaw.ch/entscheid/ge_gerichte_A_753_2024</w:t>
      </w:r>
    </w:p>
    <w:p>
      <w:r>
        <w:t>FR: GE_GERICHTE A/753/2024 du 17 décembre 2024</w:t>
      </w:r>
    </w:p>
    <w:p>
      <w:r>
        <w:t>IT: GE_GERICHTE A/753/2024 del 17 dicembre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prima facie recevable (art. 60 LPGA).</w:t>
      </w:r>
    </w:p>
    <w:p>
      <w:r>
        <w:rPr>
          <w:b/>
        </w:rPr>
        <w:t>E. 2</w:t>
      </w:r>
    </w:p>
    <w:p>
      <w:r>
        <w:t>Le lite porte sur le droit de la recourante a une rente d’invalidité, singulièrement sur l’évaluation de sa capacité de travail.</w:t>
      </w:r>
    </w:p>
    <w:p>
      <w:r>
        <w:rPr>
          <w:b/>
        </w:rPr>
        <w:t>E. 3</w:t>
      </w:r>
    </w:p>
    <w:p>
      <w:r>
        <w:t>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"comorbidité"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(ATF 141 V 281 consid. 4.3.1.2 ;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ATF 141 V 281 consid. 4.3.2). Étant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À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w:t>
      </w:r>
    </w:p>
    <w:p>
      <w:r>
        <w:rPr>
          <w:b/>
        </w:rPr>
        <w:t>E. 3.1</w:t>
      </w:r>
    </w:p>
    <w:p>
      <w:r>
        <w:t>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Si un droit à la rente a pris naissance jusqu’au 31 décembre 2021, un éventuel passage au nouveau système de rentes linéaire s'effectue, selon l'âge du bénéficiaire de rente, conformément aux let. b et c des dispositions transitoires de la LAI relatives à la modification du 19 juin 2020. Selon la let. b al. 1, les bénéficiaires de rente dont le droit à la rente a pris naissance avant l'entrée en vigueur de cette modification et qui, à l'entrée en vigueur de la modification, ont certes 30 ans révolus, mais pas encore 55 ans, conservent la quotité de la rente tant que leur taux d'invalidité ne subit pas de modification au sens de l'art. 17 al. 1 LPGA (arrêt du Tribunal fédéral 9C _499/2022 du 29 juin 2023 consid. 4.1). En l’occurrence, la décision querellée a certes été rendue postérieurement au 1 er janvier 2022. Toutefois, la demande de prestations ayant été déposée en 2018 et le délai d’attente d’une année venant à échéance en 2019, un éventuel droit à une rente d’invalidité naîtrait antérieurement au 1 er janvier 2022 (art. 28 al. 1 let. b et 29 al. 1 LAI), de sorte que les dispositions applicables seront citées dans leur teneur en vigueur jusqu’au 31 décembre 2021. En outre, dans la mesure où la recourante avait, au 1 er janvier 2022, 30 ans révolus mais moins de 55 ans, la quotité éventuelle de sa rente subsisterait tant que son taux d’invalidité ne subit pas de modification au sens de l’art. 17 al. 1 LPGA.</w:t>
      </w:r>
    </w:p>
    <w:p>
      <w:r>
        <w:rPr>
          <w:b/>
        </w:rPr>
        <w:t>E. 3.2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3.3.1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141 V 281 consid. 2.1 et 2.1.1 ; 130 V 396 consid. 5.3 et 6).</w:t>
      </w:r>
    </w:p>
    <w:p>
      <w:r>
        <w:rPr>
          <w:b/>
        </w:rPr>
        <w:t>E. 3.3.2</w:t>
      </w:r>
    </w:p>
    <w:p>
      <w:r>
        <w:t>Dans l’ATF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132 V 65 consid. 4.2.2 ; arrêt du Tribunal fédéral 9C_16/2016 du 14 juin 2016 consid. 3.2).</w:t>
      </w:r>
    </w:p>
    <w:p>
      <w:r>
        <w:rPr>
          <w:b/>
        </w:rPr>
        <w:t>E. 3.3.3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(ATF 141 V 281 consid. 2.2 ; arrêt du Tribunal fédéral 9C_756/2018 du 17 avril 2019 5.2.2 et la référence).</w:t>
      </w:r>
    </w:p>
    <w:p>
      <w:r>
        <w:rPr>
          <w:b/>
        </w:rPr>
        <w:t>E. 3.3.4</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(ATF 143 V 409 consid. 4.5.3 et 418 consid. 7.1 ; arrêts du Tribunal fédéral 8C_43/2023 du 29 novembre 2023 consid. 5.2 ; 9C_101/2019 du 12 juillet 2019 consid. 4.3 et la référence ; 9C_724/2018 du 11 juillet 2019 consid. 7). En l’absence d’un diagnostic psychiatrique, une telle appréciation n’a pas non plus à être effectuée (arrêt du Tribunal fédéral 9C_176/2018 du 16 août 2018 consid. 3.2.2).</w:t>
      </w:r>
    </w:p>
    <w:p>
      <w:r>
        <w:rPr>
          <w:b/>
        </w:rPr>
        <w:t>E. 3.4</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w:t>
      </w:r>
    </w:p>
    <w:p>
      <w:r>
        <w:rPr>
          <w:b/>
        </w:rPr>
        <w:t>E. 3.5.1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(arrêt du Tribunal fédéral 8C_286/2020 du 6 août 2020 consid. 4 et la référence).</w:t>
      </w:r>
    </w:p>
    <w:p>
      <w:r>
        <w:rPr>
          <w:b/>
        </w:rPr>
        <w:t>E. 3.5.2</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w:t>
      </w:r>
    </w:p>
    <w:p>
      <w:r>
        <w:rPr>
          <w:b/>
        </w:rPr>
        <w:t>E. 3.5.3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3.5.4</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135 V 465 consid. 4.4. et les références ; 125 V 351 consid. 3b/aa et les références).</w:t>
      </w:r>
    </w:p>
    <w:p>
      <w:r>
        <w:rPr>
          <w:b/>
        </w:rPr>
        <w:t>E. 3.5.5</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3.5.6</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3.5.7</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3.6.1</w:t>
      </w:r>
    </w:p>
    <w:p>
      <w:r>
        <w:t>Le point de départ de l'évaluation prévue pour les troubles somatoformes douloureux (ATF 141 V 281 ), les troubles dépressifs (ATF 143 V 409 ), les autres troubles psychiques (ATF 143 V 418 ) et les troubles mentaux du comportement liés à l’utilisation de substances psychoactives (ATF 145 V 215 ) est l'ensemble des éléments médicaux et constatations y relatives. Les experts doivent motiver le diagnostic psychique de telle manière que l'organe d'application du droit puisse comprendre non seulement si les critères de classification sont remplis (ATF 141 V 281 consid. 2.1.1), mais également si la pathologie diagnostiquée présente un degré de gravité susceptible d'occasionner des limitations dans les fonctions de la vie courante (arrêt du Tribunal fédéral 9C_551/2019 du 24 avril 2020 consid. 4.1 et la référence).</w:t>
      </w:r>
    </w:p>
    <w:p>
      <w:r>
        <w:rPr>
          <w:b/>
        </w:rPr>
        <w:t>E. 3.6.2</w:t>
      </w:r>
    </w:p>
    <w:p>
      <w:r>
        <w:t>Dans un arrêt de principe du 2 décembre 2019 (ATF 145 V 361 ), le Tribunal fédéral, à la lumière de l'ATF 141 V 281 , a notamment posé une délimitation, entre l'examen (libre), par les autorités chargées de l'application du droit, de l'admission d'une incapacité de travail par l'expert psychiatre, d'une part, et une appréciation juridique parallèle inadmissible, d'autre part.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médico-psychiatrique (avec extraits du dossier, anamnèse, constatations, diagnostics, etc.), c'est-à-dire qu'ils doivent se référer en détails aux résultats médico-psychiatriques des examens et explorations cliniques menés dans les règles de l’art qui relèvent de leur compétence. Le médecin doit donc exposer de manière détaillée les raisons médico-psychiatriques pour lesquelles les éléments constatés sont susceptibles de restreindre la capacité fonctionnelle et les ressources psychiques en termes qualitatifs, quantitatifs et temporels (ATF 143 V 418 consid. 6). À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 l'évaluation des répercussions de l’atteinte psychique sera également valable du point de vue des organes chargés de l’application du droit, que ce soit l’administration ou le juge. À défaut, il se justifie, juridiquement, de s'en écarter (ATF 145 V 361 consid. 4.3 et la référence).</w:t>
      </w:r>
    </w:p>
    <w:p>
      <w:r>
        <w:rPr>
          <w:b/>
        </w:rPr>
        <w:t>E. 3.6.3</w:t>
      </w:r>
    </w:p>
    <w:p>
      <w:r>
        <w:t>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 et structurée ne doit pas être entreprise (ATF 145 V 361 consid. 4.3 ; arrêt du Tribunal fédéral 8C_213/2020 du 19 mai 2020 consid. 4.3 et les références).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(arrêt du Tribunal fédéral 8C_423/2019 du 7 février 2020 consid. 3.2.2 et les références).</w:t>
      </w:r>
    </w:p>
    <w:p>
      <w:r>
        <w:rPr>
          <w:b/>
        </w:rPr>
        <w:t>E. 3.7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130 III 321 consid. 3.2 et 3.3 et les références). Aussi n’existe-t-il pas, en droit des assurances sociales, un principe selon lequel l’administration ou le juge devrait statuer, dans le doute, en faveur de l’assuré (ATF 135 V 39 consid. 6.1 et la référence).</w:t>
      </w:r>
    </w:p>
    <w:p>
      <w:r>
        <w:rPr>
          <w:b/>
        </w:rPr>
        <w:t>E. 3.8</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4</w:t>
      </w:r>
    </w:p>
    <w:p>
      <w:r>
        <w:t>Diagnostics (selon un système de classification reconnu) Précisez quels critères de classification sont remplis et de quelle manière (notamment l’étiologie et la pathogénèse).</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rPr>
          <w:b/>
        </w:rPr>
        <w:t>E. 4.5</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4.6</w:t>
      </w:r>
    </w:p>
    <w:p>
      <w:r>
        <w:t>Dans l’affirmative, considérez-vous que cela suffise à exclure une atteinte à la santé significative ?</w:t>
      </w:r>
    </w:p>
    <w:p>
      <w:r>
        <w:rPr>
          <w:b/>
        </w:rPr>
        <w:t>E. 5</w:t>
      </w:r>
    </w:p>
    <w:p>
      <w:r>
        <w:t>Limitations fonctionnelles</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w:t>
      </w:r>
    </w:p>
    <w:p>
      <w:r>
        <w:rPr>
          <w:b/>
        </w:rPr>
        <w:t>E. 6</w:t>
      </w:r>
    </w:p>
    <w:p>
      <w:r>
        <w:t>Cohérence</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w:t>
      </w:r>
    </w:p>
    <w:p>
      <w:r>
        <w:rPr>
          <w:b/>
        </w:rPr>
        <w:t>E. 7</w:t>
      </w:r>
    </w:p>
    <w:p>
      <w:r>
        <w:t>Personnalité</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w:t>
      </w:r>
    </w:p>
    <w:p>
      <w:r>
        <w:rPr>
          <w:b/>
        </w:rPr>
        <w:t>E. 8</w:t>
      </w:r>
    </w:p>
    <w:p>
      <w:r>
        <w:t>Ressources</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peut-elle compter sur le soutien de ses proches ?</w:t>
      </w:r>
    </w:p>
    <w:p>
      <w:r>
        <w:rPr>
          <w:b/>
        </w:rPr>
        <w:t>E. 9</w:t>
      </w:r>
    </w:p>
    <w:p>
      <w:r>
        <w:t>Capacité de travail</w:t>
      </w:r>
    </w:p>
    <w:p>
      <w:r>
        <w:rPr>
          <w:b/>
        </w:rPr>
        <w:t>E. 9.1</w:t>
      </w:r>
    </w:p>
    <w:p>
      <w:r>
        <w:t>Dater la survenance de l’incapacité de travail durable dans l’activité habituelle pour les diagnostics retenus, indiquer et détailler l’évolution de ce taux</w:t>
      </w:r>
    </w:p>
    <w:p>
      <w:r>
        <w:rPr>
          <w:b/>
        </w:rPr>
        <w:t>E. 9.2</w:t>
      </w:r>
    </w:p>
    <w:p>
      <w:r>
        <w:t>La personne expertisée est-elle capable d’exercer son activité lucrative habituelle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 nulle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rPr>
          <w:b/>
        </w:rPr>
        <w:t>E. 9.3.2</w:t>
      </w:r>
    </w:p>
    <w:p>
      <w:r>
        <w:t>Si oui, quel est le domaine d’activité lucrative adaptée ? À quel taux ? Depuis quelle date ?</w:t>
      </w:r>
    </w:p>
    <w:p>
      <w:r>
        <w:rPr>
          <w:b/>
        </w:rPr>
        <w:t>E. 9.3.3</w:t>
      </w:r>
    </w:p>
    <w:p>
      <w:r>
        <w:t>Dire s’il y a une diminution de rendement et la chiffrer</w:t>
      </w:r>
    </w:p>
    <w:p>
      <w:r>
        <w:rPr>
          <w:b/>
        </w:rPr>
        <w:t>E. 9.4</w:t>
      </w:r>
    </w:p>
    <w:p>
      <w:r>
        <w:t>Comment la capacité de travail de la personne expertisée a-t-elle évolué depuis le 15 octobre 2018 ?</w:t>
      </w:r>
    </w:p>
    <w:p>
      <w:r>
        <w:rPr>
          <w:b/>
        </w:rPr>
        <w:t>E. 9.5</w:t>
      </w:r>
    </w:p>
    <w:p>
      <w:r>
        <w:t>Des mesures médicales sont-elles nécessaires préalablement à la reprise d’une activité lucrative ? Si oui, lesquelles ?</w:t>
      </w:r>
    </w:p>
    <w:p>
      <w:r>
        <w:rPr>
          <w:b/>
        </w:rPr>
        <w:t>E. 9.6</w:t>
      </w:r>
    </w:p>
    <w:p>
      <w:r>
        <w:t>Quel est votre pronostic quant à l’exigibilité de la reprise d’une activité lucrative ?</w:t>
      </w:r>
    </w:p>
    <w:p>
      <w:r>
        <w:rPr>
          <w:b/>
        </w:rPr>
        <w:t>E. 10</w:t>
      </w:r>
    </w:p>
    <w:p>
      <w:r>
        <w:t>Traitement</w:t>
      </w:r>
    </w:p>
    <w:p>
      <w:r>
        <w:rPr>
          <w:b/>
        </w:rPr>
        <w:t>E. 10.1</w:t>
      </w:r>
    </w:p>
    <w:p>
      <w:r>
        <w:t>Examen du traitement suivi par la personne expertisée et analyse de son adéquation</w:t>
      </w:r>
    </w:p>
    <w:p>
      <w:r>
        <w:rPr>
          <w:b/>
        </w:rPr>
        <w:t>E. 10.2</w:t>
      </w:r>
    </w:p>
    <w:p>
      <w:r>
        <w:t>Est-ce que la personne expertisée s'est engagée ou s'engage dans les traitements qui sont raisonnablement exigibles et possiblement efficaces dans son cas ou n'a-t-elle que peu ou pas de demande de soins ?</w:t>
      </w:r>
    </w:p>
    <w:p>
      <w:r>
        <w:rPr>
          <w:b/>
        </w:rPr>
        <w:t>E. 10.3</w:t>
      </w:r>
    </w:p>
    <w:p>
      <w:r>
        <w:t>En cas de refus ou mauvaise acceptation d’une thérapie, cette attitude doit-elle être attribuée à une incapacité de la personne expertisée à reconnaître sa maladie ?</w:t>
      </w:r>
    </w:p>
    <w:p>
      <w:r>
        <w:rPr>
          <w:b/>
        </w:rPr>
        <w:t>E. 10.4</w:t>
      </w:r>
    </w:p>
    <w:p>
      <w:r>
        <w:t>Propositions thérapeutiques et analyse de leurs effets sur la capacité de travail de la personne expertisée</w:t>
      </w:r>
    </w:p>
    <w:p>
      <w:r>
        <w:rPr>
          <w:b/>
        </w:rPr>
        <w:t>E. 11</w:t>
      </w:r>
    </w:p>
    <w:p>
      <w:r>
        <w:t>Appréciation d'avis médicaux du dossier</w:t>
      </w:r>
    </w:p>
    <w:p>
      <w:r>
        <w:rPr>
          <w:b/>
        </w:rPr>
        <w:t>E. 11.1</w:t>
      </w:r>
    </w:p>
    <w:p>
      <w:r>
        <w:t>Êtes-vous d'accord avec l'avis de l’expert K______ du 4 septembre 2023 (expertise G______) ? En particulier avec les diagnostics posés et l’estimation d'une capacité de travail totale ? Si non, pourquoi ?</w:t>
      </w:r>
    </w:p>
    <w:p>
      <w:r>
        <w:rPr>
          <w:b/>
        </w:rPr>
        <w:t>E. 11.2</w:t>
      </w:r>
    </w:p>
    <w:p>
      <w:r>
        <w:t>Êtes-vous d’accord avec les avis du Dr E______ des 25 janvier 2021, 3 février 2023 et 11 avril 2024 ? En particulier avec les diagnostics posés, les limitations fonctionnelles constatées et l’estimation d’une capacité de travail nulle ? Si non, pourquoi ?</w:t>
      </w:r>
    </w:p>
    <w:p>
      <w:r>
        <w:rPr>
          <w:b/>
        </w:rPr>
        <w:t>E. 12</w:t>
      </w:r>
    </w:p>
    <w:p>
      <w:r>
        <w:t>. Quel est le pronostic ?</w:t>
      </w:r>
    </w:p>
    <w:p>
      <w:r>
        <w:rPr>
          <w:b/>
        </w:rPr>
        <w:t>E. 13</w:t>
      </w:r>
    </w:p>
    <w:p>
      <w:r>
        <w:t>. Des mesures de réadaptation professionnelle sont-elles envisageables ?</w:t>
      </w:r>
    </w:p>
    <w:p>
      <w:r>
        <w:rPr>
          <w:b/>
        </w:rPr>
        <w:t>E. 14</w:t>
      </w:r>
    </w:p>
    <w:p>
      <w:r>
        <w:t>. Faire toutes autres observations ou suggestions utiles II. Invite l’expert à déposer, dans les meilleurs délais , son rapport en trois exemplaires auprès de la chambre de céans. III. Réserve le fond ainsi que le sort des frais jusqu’à droit jugé au fond. La greffière Adriana MALANGA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