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A/752/2022 vom 31. Mai 2022</w:t>
      </w:r>
    </w:p>
    <w:p>
      <w:r>
        <w:t>GE Cour de justice, 2022-05-31, FR</w:t>
      </w:r>
    </w:p>
    <w:p>
      <w:r>
        <w:rPr>
          <w:b/>
        </w:rPr>
        <w:t xml:space="preserve">Quelle: </w:t>
      </w:r>
      <w:r>
        <w:t>https://mcp.opencaselaw.ch/entscheid/ge_gerichte_A_752_2022</w:t>
      </w:r>
    </w:p>
    <w:p>
      <w:r>
        <w:t>FR: GE_GERICHTE A/752/2022 du 31 mai 2022</w:t>
      </w:r>
    </w:p>
    <w:p>
      <w:r>
        <w:t>IT: GE_GERICHTE A/752/2022 del 31 maggio 2022</w:t>
      </w:r>
    </w:p>
    <w:p>
      <w:pPr>
        <w:pStyle w:val="Heading2"/>
      </w:pPr>
      <w:r>
        <w:t>Erwägungen</w:t>
      </w:r>
    </w:p>
    <w:p>
      <w:r>
        <w:rPr>
          <w:b/>
        </w:rPr>
        <w:t>E. 2</w:t>
      </w:r>
    </w:p>
    <w:p>
      <w:r>
        <w:t>, ne change rien à son temps de déplacement ni au fait que la saison hivernale s'avère problématique pour ses déplacements en l'absence de transports publics pour l'essentiel du trajet, étant de plus relevé que la commune H______ culmine à 960 mètres. Il en est de même de la place de parking qui lui a été mise à disposition dans la mesure où il résidait à G______. Ceci ne lui donne pas pour autant droit à une dérogation pour une domiciliation hors de la zone autorisée. Ainsi, le refus opposé au recourant de s'établir dans la commune du Jura français en cause est la seule mesure qui soit apte à produire les résultats escomptés, qui ne peuvent être atteints par une mesure moins incisive. Par ce refus, l'autorité intimée n'est pas allée au-delà du but visé par l'exigence d'une domiciliation dans une zone autorisée et a valablement tenu compte des intérêts privés et publics en présence. C'est ainsi sans arbitraire ni violation du principe de proportionnalité que l'autorité intimée a refusé la dérogation sollicitée. Ce grief sera rejeté. 9) Le recourant se plaint d'une violation du principe d'égalité de traitement.![endif]&gt;![if&gt;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144 I 113 consid. 5.1.1 ; arrêt du Tribunal fédéral 2C_949/2019 du 11 mai 2020 consid. 6.3). b. Le principe de la légalité de l'activité administrative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l'autorité persévérera dans l'inobservation de la loi. Il faut encore que celle-ci n'ait pas respecté la loi selon une pratique constante, et non pas dans un ou quelques cas isolés, et qu'aucun intérêt public ou privé prépondérant n'impose de donner la préférence au respect de la légalité (ATF 139 II 49 consid. 7.1 ; arrêt du Tribunal fédéral 1C_338/2019 du 24 juin 2020 consid. 3.1.2 et les références citées). C'est seulement lorsque toutes ces conditions sont remplies que le citoyen est en droit de prétendre, à titre exceptionnel, au bénéfice de l'égalité dans l'illégalité (arrêts du Tribunal fédéral 2C_949/2019 précité consid. 6.3 ; 6B_921/2019 du 19 septembre 2019 consid. 1.1). c. En l'espèce, le recourant se prévaut des situations de six ou sept autres employés pour solliciter l'octroi d'une dérogation. Il n'amène toutefois aucune preuve tangible d'une volonté avérée de la ville de ne pas respecter la loi. Il apparaît au contraire qu'une fois de potentielles situations non conformes connues, dont par dénonciation, la ville prend les mesures nécessaires pour y mettre un terme. Par ailleurs, la ville explique de manière crédible que, vu en particulier l'engagement du CA sur les questions environnementales, la commission de domiciliation refuse désormais systématiquement les demandes de dérogations, sauf circonstances exceptionnelles, non réalisées en l'espèce. Ce grief sera également rejeté. 10) Le recourant considère que l'autorité intimée a violé le principe de la bonne foi.![endif]&gt;![if&gt;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b.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c.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d.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e. En l'espèce, le recourant n'a reçu à aucun moment l'assurance de la commission de domiciliation, seule compétente pour en décider, que la dérogation demandée serait accordée. À cet égard, le fait que son supérieur hiérarchique lui aurait affirmé qu'un déplacement de domicile H______ ne poserait aucun problème au service « tant qu'il arrivait à l'heure » n'engagerait nullement ladite commission. Comme déjà dit, il a mis l'autorité devant le fait accompli en faisant l'acquisition d'une maison apparemment en été 2021 déjà, alors même que ladite commission n'avait pas encore statué, puisqu'elle l'a fait pour la première fois en octobre 2021. La mise à disposition du recourant d'une place de parking sur son lieu de travail, alors qu'il était domicilié dans une commune sise dans la zone autorisée, ne signifie pas pour autant que l'autorité intimée accepte, en l'absence de circonstances exceptionnelles, une dérogation à l'obligation de résidence dans ladite zone, obligation connue du recourant depuis son engagement. Entièrement mal fondé, son recours sera rejeté. 11) Vu l'issue du litige, un émolument de CHF 1'000.- sera mis à sa charge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