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A/750/2004 vom 8. September 2004</w:t>
      </w:r>
    </w:p>
    <w:p>
      <w:r>
        <w:t>GE Cour de justice, 2004-09-08, FR</w:t>
      </w:r>
    </w:p>
    <w:p>
      <w:r>
        <w:rPr>
          <w:b/>
        </w:rPr>
        <w:t xml:space="preserve">Quelle: </w:t>
      </w:r>
      <w:r>
        <w:t>https://mcp.opencaselaw.ch/entscheid/ge_gerichte_A_750_2004</w:t>
      </w:r>
    </w:p>
    <w:p>
      <w:r>
        <w:t>FR: GE_GERICHTE A/750/2004 du 8 septembre 2004</w:t>
      </w:r>
    </w:p>
    <w:p>
      <w:r>
        <w:t>IT: GE_GERICHTE A/750/2004 del 8 settembre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13.09.2004 A/750/2004</w:t>
      </w:r>
    </w:p>
    <w:p>
      <w:r>
        <w:t>A/750/2004 ATAS/703/2004 du 13.09.2004 ( AI ) , RETIRE RÉPUBLIQUE ET CANTON DE GENÈVE POUVOIR JUDICIAIRE A/750/2004 ATAS/703/2004 ARRET DU TRIBUNAL CANTONAL DES ASSURANCES SOCIALES du 8 septembre 2004 3 ème chambre En la cause Madame F__________ recourante contre OFFICE CANTONAL DE L’ASSURANCE INVALIDITE, rue de Lyon 97, case postale 425, 1211 Genève 13 intimé Attendu en fait que par courrier du 8 avril 2004, Madame F__________ a interjeté recours contre la décision sur opposition rendue par l’Office cantonal de l’assurance-invalidité (ci-après l’OCAI) à son encontre en date du 15 mars 2004 ; Qu’elle a à cette occasion sollicité un délai pour consulter son dossier et obtenir des renseignements médicaux supplémentaires ; Qu’invité à se prononcer, l’OCAI, dans son préavis du 25 mai 2004, a conclu au rejet du recours ; Que par courrier du 26 août 2004, la recourante a indiqué au Tribunal de céans avoir reçu les documents médicaux qu’elle attendait de l’hôpital cantonal et avoir pris la décision, sur cette base, de retirer son recours ; Qu’il convient par conséquent d’en prendre acte et de rayer la cause du rôle ; PAR CES MOTIFS, LE TRIBUNAL CANTONAL DES ASSURANCES SOCIALES : Statuant Prend acte du retrait du recours ; Raye la cause du rôle. La greffière: Janine BOFFI La Présidente : Karine STECK Une copie conforme du présent arrêt est notifiée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