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A/74/2023 vom 31. Oktober 2023</w:t>
      </w:r>
    </w:p>
    <w:p>
      <w:r>
        <w:t>GE Cour de justice, 2023-10-31, FR</w:t>
      </w:r>
    </w:p>
    <w:p>
      <w:r>
        <w:rPr>
          <w:b/>
        </w:rPr>
        <w:t xml:space="preserve">Quelle: </w:t>
      </w:r>
      <w:r>
        <w:t>https://mcp.opencaselaw.ch/entscheid/ge_gerichte_A_74_2023</w:t>
      </w:r>
    </w:p>
    <w:p>
      <w:r>
        <w:t>FR: GE_GERICHTE A/74/2023 du 31 octobre 2023</w:t>
      </w:r>
    </w:p>
    <w:p>
      <w:r>
        <w:t>IT: GE_GERICHTE A/74/2023 del 31 ottobre 2023</w:t>
      </w:r>
    </w:p>
    <w:p>
      <w:pPr>
        <w:pStyle w:val="Heading2"/>
      </w:pPr>
      <w:r>
        <w:t>Erwägungen</w:t>
      </w:r>
    </w:p>
    <w:p>
      <w:r>
        <w:rPr>
          <w:b/>
        </w:rPr>
        <w:t>E. 2</w:t>
      </w:r>
    </w:p>
    <w:p>
      <w:r>
        <w:t>Est litigieux le refus de l’OCPM d’accorder au recourant un titre de séjour fondé sur l’art. 8 CEDH.![endif]&gt;![if&gt;</w:t>
      </w:r>
    </w:p>
    <w:p>
      <w:r>
        <w:rPr>
          <w:b/>
        </w:rPr>
        <w:t>E. 2.1</w:t>
      </w:r>
    </w:p>
    <w:p>
      <w:r>
        <w:t>L'art. 8 CEDH ouvre le droit à une autorisation de séjour, lorsque l’étranger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citées).![endif]&gt;![if&gt;</w:t>
      </w:r>
    </w:p>
    <w:p>
      <w:r>
        <w:rPr>
          <w:b/>
        </w:rPr>
        <w:t>E. 2.2</w:t>
      </w:r>
    </w:p>
    <w:p>
      <w:r>
        <w:t>L'exigence du lien affectif particulièrement fort doit être considérée comme remplie lorsque les contacts personnels sont exercés dans le cadre d'un droit de visite usuel (ATF 140 I 145 consid. 3.2 ; arrêt du Tribunal fédéral 2C_844/2019 du 28 février 2020 consid. 3.1). La protection accordée par l'art. 8 CEDH suppose que la relation avec l'enfant – qui doit être étroite et effective (ATF 139 I 330 consid. 2.1) – ait préexisté (arrêts du Tribunal fédéral 2C_537/2009 du 31 mars 2010 consid. 3 ; 2C_490/2009 du 2 février 2010 consid. 3.2.3).Une telle solution prend également en compte l'art. 9 § 3 CDE (ATF 140 I 145 consid. 3.2 ; 139 I 315 consid. 2.4), étant relevé qu’aucune prétention directe à l'octroi d'une autorisation de droit des étrangers ne peut être déduite des dispositions de la CDE (ATF 126 II 377 consid. 5 ; 124 II 361 consid. 3b).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3.5).![endif]&gt;![if&gt;</w:t>
      </w:r>
    </w:p>
    <w:p>
      <w:r>
        <w:rPr>
          <w:b/>
        </w:rPr>
        <w:t>E. 2.3</w:t>
      </w:r>
    </w:p>
    <w:p>
      <w:r>
        <w:t>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Dès lors que l’examen du respect du principe de la proportionnalité se rapproche de l’examen des circonstances à faire pour déterminer l’existence d’un cas de rigueur, il se justifie de s’y référer (ATF 139 I 145 consid. 2.4).![endif]&gt;![if&gt;</w:t>
      </w:r>
    </w:p>
    <w:p>
      <w:r>
        <w:rPr>
          <w:b/>
        </w:rPr>
        <w:t>E. 2.4</w:t>
      </w:r>
    </w:p>
    <w:p>
      <w:r>
        <w:t>Selon l'art. 31 al. 1 OASA, dans sa teneur au moment du dépôt de la demande de regroupement familial,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g).![endif]&gt;![if&gt;</w:t>
      </w:r>
    </w:p>
    <w:p>
      <w:r>
        <w:rPr>
          <w:b/>
        </w:rPr>
        <w:t>E. 2.5</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4b).![endif]&gt;![if&gt;</w:t>
      </w:r>
    </w:p>
    <w:p>
      <w:r>
        <w:rPr>
          <w:b/>
        </w:rPr>
        <w:t>E. 2.6</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4.1).![endif]&gt;![if&gt;</w:t>
      </w:r>
    </w:p>
    <w:p>
      <w:r>
        <w:rPr>
          <w:b/>
        </w:rPr>
        <w:t>E. 2.7</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5.2).![endif]&gt;![if&gt;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w:t>
      </w:r>
    </w:p>
    <w:p>
      <w:r>
        <w:rPr>
          <w:b/>
        </w:rPr>
        <w:t>E. 2.8</w:t>
      </w:r>
    </w:p>
    <w:p>
      <w:r>
        <w:t>En l’espèce, le recourant se prévaut de sa paternité sur sa fille C______, titulaire d’un droit de séjour durable en Suisse, pour en déduire un droit de séjour en sa faveur. Or, comme il le reconnaît, il n’entretient aucune relation personnelle avec son enfant. Il se plaint de ce que le TPAE n’aurait pas veillé à l’organisation des relations personnelles et de l’attitude obstructive de la mère de l’enfant. Il reconnaît cependant avoir attendu après le prononcé du jugement de divorce que le TPAE prenne contact avec lui en vue d’organiser les relations personnelles. Il n’a engagé pendant plus de deux ans, selon ses propres indications, aucune démarche en vue de faire respecter son droit de visite. Il ne peut, dans ces circonstances, soutenir que l’absence de relations personnelles avec sa fille, de désormais 4 ans, ne lui serait nullement imputable. L’absence de relations personnelles effectives et régulières entre le recourant et sa fille s’oppose ainsi à l’octroi d’un titre de séjour sous l’angle de l’art. 8 CEDH.![endif]&gt;![if&gt; Le recourant ne peut non plus se prévaloir d’un lien économique fort avec son enfant, admettant qu’il n’a que partiellement rempli son obligation d’entretien envers celle‑ci. Contrairement à ses affirmations, il disposait manifestement des moyens lui permettant de s’acquitter des contributions d’entretien, ayant effectué en juin et juillet 2021 des virements au Brésil qu’il reconnaît se monter entre CHF 6'000.- à CHF 8'000.- et ayant également indiqué être propriétaire d’un appartement dans son pays d’origine. Il convient donc également de constater l’absence de lien économique particulièrement fort entre le recourant et sa fille vivant en Suisse. Pour le surplus, le recourant, qui vit en Suisse depuis février 2018, ne peut se targuer d’une intégration socio-professionnelle marquée. Il a donné des indications contradictoires relatives à sa situation professionnelle, alléguant tantôt être sans emploi, tantôt réaliser un revenu mensuel de CHF 3'000.- voire encore avoir fondé une entreprise de peinture, plâtrerie et carrelage, G______, sans toutefois fournir plus d’informations à ce sujet. Son intégration professionnelle ne saurait ainsi être qualifiée de remarquable. L’intégration sociale du recourant n’est pas davantage exceptionnelle. Au contraire, celui-ci s’est rendu coupable de lésions corporelles simples, menaces et contrainte à l’encontre de son ex-épouse. La condamnation a été rendue après une confrontation ayant eu lieu devant le Ministère public. Rien ne permet ainsi à la chambre administrative de s’en écarter ni d’atténuer le caractère répréhensible des actes ayant donné lieu à la condamnation. Par ailleurs, le recourant n’a pas déclaré à l’office des poursuites l’existence d’un compte bancaire et d’un appartement au Brésil, dont il est propriétaire. Le recourant ne s’est ainsi pas montré respectueux de l’ordre public suisse. Il a vécu jusqu’à l’âge de 33 ans au Brésil où vivent, en tout cas, son autre enfant, sa mère et son frère et où il indique avoir eu une situation professionnelle confortable. Après seulement cinq ans d’absence de son pays d’origine, le recourant qui est en bonne santé et a manifestement conservé des attaches avec son pays, ne devrait pas rencontrer de difficultés insurmontables pour sa réintégration sociale et professionnelle. Au vu de l’ensemble des éléments qui précèdent, l’OCPM n’a pas violé la loi, singulièrement l’art. 8 CEDH, ni abusé de son pouvoir d’appréciation en refusant d’octroyer au recourant une autorisation de séjour. Mal fondé, le recours sera rejeté.</w:t>
      </w:r>
    </w:p>
    <w:p>
      <w:r>
        <w:rPr>
          <w:b/>
        </w:rPr>
        <w:t>E. 3</w:t>
      </w:r>
    </w:p>
    <w:p>
      <w:r>
        <w:t>Il convient encore d’examiner si le renvoi prononcé par l’OCPM est fondé.![endif]&gt;![if&gt;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3.2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dossier.![endif]&gt;![if&gt; Mal fondé, le recours sera rejeté.</w:t>
      </w:r>
    </w:p>
    <w:p>
      <w:r>
        <w:rPr>
          <w:b/>
        </w:rPr>
        <w:t>E. 4</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