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A/74/2013 vom 9. April 2013</w:t>
      </w:r>
    </w:p>
    <w:p>
      <w:r>
        <w:t>GE Cour de justice, 2013-04-09, FR</w:t>
      </w:r>
    </w:p>
    <w:p>
      <w:r>
        <w:rPr>
          <w:b/>
        </w:rPr>
        <w:t xml:space="preserve">Quelle: </w:t>
      </w:r>
      <w:r>
        <w:t>https://mcp.opencaselaw.ch/entscheid/ge_gerichte_A_74_2013</w:t>
      </w:r>
    </w:p>
    <w:p>
      <w:r>
        <w:t>FR: GE_GERICHTE A/74/2013 du 9 avril 2013</w:t>
      </w:r>
    </w:p>
    <w:p>
      <w:r>
        <w:t>IT: GE_GERICHTE A/74/2013 del 9 aprile 2013</w:t>
      </w:r>
    </w:p>
    <w:p>
      <w:pPr>
        <w:pStyle w:val="Heading2"/>
      </w:pPr>
      <w:r>
        <w:t>Regeste</w:t>
      </w:r>
    </w:p>
    <w:p>
      <w:r>
        <w:t>PC; RÉPÉTITION(ENRICHISSEMENT ILLÉGITIME); PÉREMPTION; DÉLAI ABSOLU; DÉLAI RELATIF; PRESCRIPTION; ACTION PÉNALE; DISPOSITIONS PÉNALES DE LA LPC ; ESCROQUERIE; TROMPERIE; POSITION DE GARANT; ASTUCE; INFRACTION DE RÉSULTAT; OBLIGATION DE RENSEIGNER | Lors du dépôt de la demande de prestations, en omettant d'annoncer la perception d'une rente de la Caisse nationale française (CNAV), l'assurée a violé son obligation d'informer et a ainsi commis une tromperie par omission. En revanche, elle ne s'est pas rendue coupable d'escroquerie, à défaut de dissimulation astucieuse. En effet, sachant que l'assurée était née en France et y avait vécu jusqu'à l'âge de 37 ans, le SPC a fait preuve de négligence dans le contrôle du dossier, faute d'avoir procédé à des investigations et aux contrôles périodiques prévus par la loi, notamment de l'avoir amenée à renouveler sa demande. Par conséquent, le délai de prescription pénale applicable est de sept ans. | LPGA 25 al.1; LPGA 25 al. 2; LPCC 24; CP 146; OPC_AVS/AI 24; LPC 31</w:t>
      </w:r>
    </w:p>
    <w:p>
      <w:pPr>
        <w:pStyle w:val="Heading2"/>
      </w:pPr>
      <w:r>
        <w:t>Erwägungen</w:t>
      </w:r>
    </w:p>
    <w:p>
      <w:r>
        <w:rPr>
          <w:b/>
        </w:rPr>
        <w:t>E. 1</w:t>
      </w:r>
    </w:p>
    <w:p>
      <w:r>
        <w:t>ère Chambre En la cause Madame N__________, domiciliée à MEYRIN, représentée par COMMUNE DE MEYRIN recourante contre SERVICE DES PRESTATIONS COMPLEMENTAIRES, sis route de Chêne 54, GENÈVE intimé EN FAIT 1.        Madame N__________, née en 1923, est au bénéfice de prestations complémentaires depuis 1985. ![endif]&gt;![if&gt; 2.        Constatant en février 2012 que l'intéressée percevait une rente étrangère qui n'avait pas été déclarée, le SERVICE DES PRESTATIONS COMPLEMENTAIRES (ci-après le SPC) a procédé à un nouveau calcul des prestations auxquelles elle avait droit, et lui a réclamé, par décision du 14 novembre 2012, le remboursement de la somme de 24'768 fr., représentant les prestations versées à tort du 1 er janvier 2002 au 31 décembre 2010.![endif]&gt;![if&gt; 3.        L'intéressée a formé opposition le 4 décembre 2012, contestant l'application du délai de péremption de dix ans.![endif]&gt;![if&gt; 4.        Par décision du 14 décembre 2012, le SPC a justifié ce délai au motif que l'intéressée s'est rendue coupable d'une escroquerie au sens de l'art. 146 CP, bien qu'il n'ait pas déposé de plainte pénale. Il lui reproche de ne pas avoir annoncé l'existence de la rente étrangère qu'elle recevait depuis de nombreuses années, alors qu'un courrier détaillé du SPC lui rappelait chaque année son obligation de le renseigner de tout changement intervenant dans sa situation personnelle et/ou économique.![endif]&gt;![if&gt; L'opposition est très partiellement admise, en ce sens que le montant de restitution est ramené à 22'414 fr. ; la décision litigieuse ayant été expédiée le 14 novembre 2012, seules les prestations indûment versées depuis le 1 er décembre 2002 peuvent en effet être réclamées. 5.        L'intéressée, représentée par le Service des aînés de la Commune de Meyrin, a interjeté recours le 11 janvier 2013 contre ladite décision sur opposition. Sa mandataire a expliqué qu' "en date du 28 février, l'intéressée est venue nous voir concernant d'une part sa déclaration fiscale à remplir et le dossier du SPC à mettre à jour. Suite à sa visite, nous avons fait parvenir l'ensemble des documents aux administrations concernées. Il s'avère que l'intéressée avait omis de déclarer sa petite rente française au SPC malgré qu'elle le faisait auprès de l'administration fiscale cantonale. Dans tous les cas, lors de notre rendez-vous, elle ne savait plus si cette rente était déclarée ou non. Il faut dire qu'elle est âgée de 90 ans et souffre de grave dépression".![endif]&gt;![if&gt; 6.        Dans sa réponse du 23 janvier 2013, le SPC a conclu au rejet du recours.![endif]&gt;![if&gt; 7.        Ce courrier a été transmis à l'intéressée et la cause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Dès lors que la décision du SPC de révision/reconsidération est postérieure à l'entrée en vigueur de la LPGA, cette dernière s’applique au cas d’espèce. 3.        Les dispositions de la LPGA, en vigueur depuis le 1er janvier 2003, s’appliquent aux prestations complémentaires fédérales à moins qu’il n’y soit expressément dérogé (art. 1 al. 1 LPC). Il en va de même en matière de prestations complémentaires cantonales (art. 1A let. b LPCC).![endif]&gt;![if&gt;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4.        Déposé dans le forme et le délai prescrits, le recours est recevable (art. 9 LPCF, art. 38 al. 4, 56 al. 1 et 61 al. 1 LPGA; art. 43 LPCC).![endif]&gt;![if&gt; 5.        Le litige porte sur le bien-fondé de la décision de restitution des prestations complémentaires versées du 1er décembre 2002 au 31 décembre 2012, à hauteur de 22'414 fr. La demande de remise, formulée par la recourante dans le cadre de son opposition, ne fait pas l'objet de la présente procédure. ![endif]&gt;![if&gt; 6.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2e).![endif]&gt;![if&gt;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7.        Dans le cas d'espèce, l'assurée a perçu des revenus qu'elle a omis d'annoncer au SPC et dont celui-ci n'a, partant, pas tenu compte dans le calcul des prestations qu'il lui a versées. Que l'assurée n'ait pas réalisé que le SPC ne prenait pas en considération sa rente française relève de l'examen de la bonne foi, à effectuer ultérieurement dans le cadre de la demande de remise. Il y a en effet lieu de rappeler à cet égard que la restitution de prestations vise à rétablir une situation conforme au droit, sans égard à l'éventuelle bonne foi de l'assurée. Les conditions pour exiger la restitution des prestations indûment perçues sont ainsi remplies. ![endif]&gt;![if&gt; 8.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9.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 ![endif]&gt;![if&gt; 10.    En l'espèce, l'intéressée, par l'intermédiaire du service social, a informé le SPC le 28 février 2012 de l'existence d'une rente française. Le SPC a demandé la production des justificatifs de cette rente de 2002 à 2010, et, faisant suite aux informations reçues, le 29 octobre 2012, a rendu la décision litigieuse du 14 novembre 2012. ![endif]&gt;![if&gt; Selon la jurisprudence, l'obligation du SPC de procéder tous les 4 ans à la révision du dossier ne permet pas de fixer le début du délai de péremption d'un an de l'art. 25 LPGA à la date à laquelle la révision devait avoir lieu. Selon la jurisprudence,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(ATF P 39/05 du 10 juillet 2006). S'agissant de rentes étrangères, seule l'assurée en connaissait précisément le montant. Elle a régulièrement été invitée à vérifier que les plans de calculs correspondaient à la réalité de ses revenus. On ne peut donc pas retenir que le SPC aurait pu et dû, en faisant preuve de diligence, connaître le montant de ces rentes plus tôt. Il est par ailleurs notoire que l'administration fiscale ne transmet pas d'office au SPC les avis de taxation des bénéficiaires, et cela est confirmé par le fait qu'ils ne figurent pas au dossier de l'assurée. Le délai de péremption d'un an commençant à courir seulement lorsque le SPC dispose de l'ensemble des éléments permettant de réclamer la restitution des prestations indûment perçues, y compris quant au montant dû, ce qui implique de vérifier, après avoir découvert le montant de la rente litigieuse, les autres éléments de calcul des prestations, il s'ensuit que c'est dans le délai de péremption d'une année dès la connaissance de toutes les informations utiles que le SPC a demandé la restitution des prestations versées à tort. 11.    L'art. 25 al. 2 LPGA prévoit également que ![endif]&gt;![if&gt;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 12.    En réclamant à l'intéressée le remboursement des prestations versées à tort depuis le 1 er décembre 2002, le SPC a appliqué le délai de prescription pénal. ![endif]&gt;![if&gt; 13.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![endif]&gt;![if&gt;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non publié 6S.288/2000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 ATAS/3/2012 ).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 ATAS/654/2011 ). Cet arrêt a cependant été annulé par le TF, au motif que rien ne permettait au SPC d'envisager la modification survenue dans la situation financière de l'assuré (ATF 9C_622/2011 ; cf. également ATAS/914/2012 du 19 juillet 2012). 14.    En l'espèce, lors du dépôt de la demande de prestations - le 17 avril 1985 - l'intéressée a déclaré avoir réalisé un revenu d'activité lucrative de 31'266 fr. et précisé qu'elle avait cessé de travailler le 31 mars 1985. Elle a produit copie de la décision du 12 avril 1985 aux termes de laquelle le droit à une rente de vieillesse lui avait été reconnu.![endif]&gt;![if&gt; Elle a en revanche omis d'annoncer au SPC qu'elle avait été mise au bénéfice d'une rente de la Caisse nationale française (CNAV). Elle a de la sorte violé son obligation d'informer le SPC de tout changement survenu dans sa situation économique et a ainsi commis une tromperie par omission. Reste à déterminer si cette violation est constitutive d'une tromperie astucieuse. 15.    Il y a d'emblée lieu de constater qu'elle a correctement déclaré à l'administration fiscale cantonale sa rente française, de sorte qu'elle pouvait raisonnablement penser que le SPC en avait connaissance en vérifiant régulièrement les avis de taxation, ce à quoi il aurait du reste dû procéder après 4 ans déjà dès l'octroi lors d'un examen périodique. ![endif]&gt;![if&gt; Quoi qu'il en soit, le comportement de l'assurée, qui a tu l'existence de cette rente à l'égard du SPC, ne saurait - même si elle a régulièrement reçu des communications l'invitant à transmettre tout changement dans sa situation économique - à elle seule, constituer une tromperie astucieuse, vu l'absence de position de garant de sa part vis-à-vis du SPC (arrêt du Tribunal fédéral du 28 septembre 2000 précité; ATF 127 IV 163 , arrêt du Tribunal fédéral du 3 février 2012 précité; arrêt du Tribunal fédéral du 31 août 2012 8C 791/2011). Il est vrai que l'intéressée a été régulièrement informée de la portée de son obligation de renseigner. Il est vrai également que le SPC n'a pas la possibilité de vérifier chaque année la situation financière de l'ensemble des bénéficiaires, en les interrogeant précisément ou en examinant leur taxation fiscale. En l'espèce toutefois, il a été informé de ce qu'elle était née en France et y avait vécu jusqu'à l'âge de 37 ans. Il y avait dès lors beaucoup de chances qu'elle soit mise au bénéfice d'une rente française. Or, il n'a procédé à aucune investigation qui lui aurait permis de se rendre compte de l'existence d'une telle rente. Il lui aurait suffi à cet égard de consulter les taxations fiscales de l'assurée et/ou de l'interroger. Il a versé ses prestations à l'assurée de manière routinière, sans jamais lui demander de s’exprimer sur sa situation financière en l’amenant à renouveler sa demande ou en lui transmettant le formulaire usuel en matière de révision. Il n'a en particulier pas procédé aux contrôles périodiques prescrits à l'art. 30 OPC. On ne peut dès lors que reprocher au SPC d'avoir fait preuve de négligence dans le contrôle de ce dossier. Pour l'ensemble de ces motifs, la Cour de céans estime que l'assurée ne s'est pas rendue coupable d'escroquerie, à défaut de dissimulation astucieuse. Aussi la restitution de prestations indument perçues réclamée par décision du 14 novembre 2012, confirmée sur opposition le 14 décembre 2012 à hauteur de 22'414 fr., ne doit-elle pas être soumise à la prescription pénale de dix ans. 16.    Cela étant, il convient encore d’examiner si l'assurée ne s’est pas rendue coupable d’une violation de l’obligation de renseigner (art. 31 LPC).![endif]&gt;![if&gt; Jusqu’au 31 décembre 2007, l’art. 16 al. 1 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C'est l’art. 24 OPC-AVS/AI, toujours applicable, qui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Depuis le 1 er janvier 2008, les dispositions pénales font l’objet de l’art. 31 LPC. Selon l’alinéa 1 lettre a de cette disposition,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Dans un ATF 131 IV 83 , le Tribunal fédéral a précisé que l’infraction de l’art. 16 al. 1 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 la recourante avait intentionnellement dissimulé de façon mensongère une rente mensuelle et des valeurs patrimoniales dans sa demande de prestations complémentaires, en mars 1992. Le Tribunal fédéral a ainsi considéré qu’elle avait réalisé l’infraction de l’art. 16 al. 1 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17.    Il est manifeste que l'assurée, qui n'a pas annoncé sa rente française avant février 2012, a manqué à son obligation de communiquer, au sens de l'art. 31 LPC en vigueur dès le 1er janvier 2008 et de l'art. 16 al. 1 aLPC en vigueur jusqu'au 31 décembre 2007, particulièrement au regard des informations générales reçues annuellement et qui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au SPC (ATF 131 IV 83 ; ATAS 1078/2012 du 30 août 2012).![endif]&gt;![if&gt; En conséquence, la prescription pénale de sept ans est applicable en l'espèce, de sorte que la demande de restitution devra porter sur la période débutant le 1 er décembre 2005 en lieu et place du 1 er décembre 2002. 18.    Le recours est partiellement admis et la décision du 14 décembre 2012 est annulée en tant qu'elle réclame la restitution de prestations à compter du 1 er décembre 2002, et la cause est renvoyée au SPC pour nouveau calcul quant au montant versé à tort du 1 er décembre 2005 au 31 décembre 2012 et nouvelle décision.![endif]&gt;![if&gt; 19.    Il y a enfin lieu de rappeler que la restitution ne peut être exigée lorsque l’intéressé était de bonne foi et qu’elle le mettrait dans une situation difficile (art. 25 al. 1 LPGA). La Cour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1.2).![endif]&gt;![if&gt; PAR CES MOTIFS, LA CHAMBRE DES ASSURANCES SOCIALES : Statuant A la forme : 1.        Déclare le recours recevable.![endif]&gt;![if&gt; Au fond : 2.        L'admet partiellement et annule la décision du 14 décembre 2012.![endif]&gt;![if&gt; 3.        Renvoie la cause au SPC pour nouveau calcul quant au montant versé à tort du 1 er décembre 2005 au 31 décembre 2012 et nouvelle décision.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