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A/749/2023 vom 4. Juni 2025</w:t>
      </w:r>
    </w:p>
    <w:p>
      <w:r>
        <w:t>GE Cour de justice, 2025-06-04, FR</w:t>
      </w:r>
    </w:p>
    <w:p>
      <w:r>
        <w:rPr>
          <w:b/>
        </w:rPr>
        <w:t xml:space="preserve">Quelle: </w:t>
      </w:r>
      <w:r>
        <w:t>https://mcp.opencaselaw.ch/entscheid/ge_gerichte_A_749_2023</w:t>
      </w:r>
    </w:p>
    <w:p>
      <w:r>
        <w:t>FR: GE_GERICHTE A/749/2023 du 4 juin 2025</w:t>
      </w:r>
    </w:p>
    <w:p>
      <w:r>
        <w:t>IT: GE_GERICHTE A/749/2023 del 4 giugno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w:t>
      </w:r>
    </w:p>
    <w:p>
      <w:r>
        <w:rPr>
          <w:b/>
        </w:rPr>
        <w:t>E. 1.2</w:t>
      </w:r>
    </w:p>
    <w:p>
      <w:r>
        <w:t>Compte tenu du domicile genevois du recourant, la Cour de céans est compétente à raison de la matière et du lieu pour juger du cas d’espèce Sa compétence pour juger du cas d’espèce est ainsi établie.</w:t>
      </w:r>
    </w:p>
    <w:p>
      <w:r>
        <w:rPr>
          <w:b/>
        </w:rPr>
        <w:t>E. 2</w:t>
      </w:r>
    </w:p>
    <w:p>
      <w:r>
        <w:t>À teneur de l'art. 1 al. 1 LAA, les dispositions de la LPGA s'appliquent à l'assurance-accidents, à moins que la loi n'y déroge expressément. Le 1 er janvier 2021 est entrée en vigueur la modification du 21 juin 2019 de la LPGA. Dans la mesure où le recours a été interjeté postérieurement au 1 er janvier 2021, il est soumis au nouveau droit (cf. art. 82 a LPGA a contrario). Le 1 er janvier 2017 est entrée en vigueur la modification du 25 septembre 2015 de la LAA. L'accident étant survenu avant cette date, le droit du recourant aux prestations d'assurance est soumis à l’ancien droit.</w:t>
      </w:r>
    </w:p>
    <w:p>
      <w:r>
        <w:rPr>
          <w:b/>
        </w:rPr>
        <w:t>E. 3</w:t>
      </w:r>
    </w:p>
    <w:p>
      <w:r>
        <w:t>Le délai de recours est de trente jours (art. 56 LPGA ; art. 62 al. 1 de la de loi sur la procédure administrative du 12 septembre 1985 [LPA - E 5 10]). Interjeté dans la forme et le délai prévus par la loi, la décision litigieuse ayant été reçue le 31 janvier 2023, le recours est recevable.</w:t>
      </w:r>
    </w:p>
    <w:p>
      <w:r>
        <w:rPr>
          <w:b/>
        </w:rPr>
        <w:t>E. 4</w:t>
      </w:r>
    </w:p>
    <w:p>
      <w:r>
        <w:t>Le litige porte sur le bien-fondé de la décision de l’intimée de nier le droit à la rente et d’accorder une indemnité pour atteinte à l’intégrité de 10%, ses conclusions reposant notamment sur la non-prise en compte des céphalées, des vertiges avec pertes de connaissance et des troubles psychiques, lesquels ne seraient pas imputables aux accidents de juin et août 2016.</w:t>
      </w:r>
    </w:p>
    <w:p>
      <w:r>
        <w:rPr>
          <w:b/>
        </w:rPr>
        <w:t>E. 5.1</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rPr>
          <w:b/>
        </w:rPr>
        <w:t>E. 5.2</w:t>
      </w:r>
    </w:p>
    <w:p>
      <w:r>
        <w:t>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(ATF 148 V 138 consid. 5.1.1 et les références). Il n'est pas nécessaire, en revanche,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w:t>
      </w:r>
    </w:p>
    <w:p>
      <w:r>
        <w:rPr>
          <w:b/>
        </w:rPr>
        <w:t>E. 5.3</w:t>
      </w:r>
    </w:p>
    <w:p>
      <w:r>
        <w:t>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5.4</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4b ; 115 V 133 consid. 6 ; 115 V 403 consid. 5). En présence de troubles psychiques apparus après un accident, on examine les critères de la causalité adéquate en excluant les aspects psychiques (ATF 115 V 133 consid. 6c/aa; ATF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Le Tribunal fédéral a toutefois précisé qu’en cas de TCC, un certain degré de sévérité de l’atteinte sous forme d’une contusio cerebri était nécessaire pour justifier l’application de la jurisprudence en cas de traumatisme de type « coup du lapin » à la colonne cervicale, de traumatisme analogue ou de TCC. En revanche, en présence d’un TCC léger, l’examen d’un lien de causalité adéquate s’effectue en application de la jurisprudence en matière de troubles psychiques consécutifs à un accident (cf. arrêt du Tribunal fédéral 8C_565/2022 du 23 mai 2023 et les arrêts cités; sur la distinction médicale entre TCC léger et contusio cerebri , arrêt du Tribunal fédéral 8C_44/2017 du 19 avril 2017 consid. 4.1).</w:t>
      </w:r>
    </w:p>
    <w:p>
      <w:r>
        <w:rPr>
          <w:b/>
        </w:rPr>
        <w:t>E. 5.4.1</w:t>
      </w:r>
    </w:p>
    <w:p>
      <w:r>
        <w:t>En application de la pratique sur les conséquences psychiques des accidents (ATF 115 V 133 ),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La clôture séparée d’un cas d’assurance-accidents pour les troubles psychiques d’une part et les troubles somatiques d’autre part n’entre pas en ligne de compte (arrêt du Tribunal fédéral 8C_235/2020 du 15 février 2021 consid. 2.3 et les références).</w:t>
      </w:r>
    </w:p>
    <w:p>
      <w:r>
        <w:rPr>
          <w:b/>
        </w:rPr>
        <w:t>E. 5.4.2</w:t>
      </w:r>
    </w:p>
    <w:p>
      <w:r>
        <w:t>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En revanche,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(ATF 147 V 207 consid. 6.1 et les références). Par conséquent, si le juge des assurances sociales - saisi d’un examen du lien de causalité adéquate à l'égard de troubles psychiques alors que la question de la causalité naturelle a été laissée ouverte -, parvient à la conclusion que l'appréciation de l'assureur-accidents est erronée sur un ou plusieurs critères et que l'admission du lien du causalité adéquate pourrait entrer en considération, il doit, avant de statuer définitivement sur ce dernier point, instruire ou faire instruire par l'assureur-accidents les questions de fait relatives à la nature de ces troubles (diagnostic, caractère invalidant) et à leur causalité naturelle (ATF 148 V 138 consid. 5.5).</w:t>
      </w:r>
    </w:p>
    <w:p>
      <w:r>
        <w:rPr>
          <w:b/>
        </w:rPr>
        <w:t>E. 5.4.3</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ATF 115 V 133 consid. 6 ;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(cf. ATF 148 V 301 consid. 4.3.1 et les références ;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w:t>
      </w:r>
    </w:p>
    <w:p>
      <w:r>
        <w:rPr>
          <w:b/>
        </w:rPr>
        <w:t>E. 5.4.4</w:t>
      </w:r>
    </w:p>
    <w:p>
      <w:r>
        <w:t>Pour admettre l’existence du lien de causalité en présence d’un accident de gravité moyenne, il faut donc prendre en considération un certain nombre de critères, dont les plus importants sont les suivants (ATF 115 V 133 consid. 6c/aa ;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De manière générale, lorsqu'il s'agit d'un accident de gravité moyenne,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115 V 133 consid. 6c/bb ; 115 V 403 consid. 5c/bb).</w:t>
      </w:r>
    </w:p>
    <w:p>
      <w:r>
        <w:rPr>
          <w:b/>
        </w:rPr>
        <w:t>E. 6.1</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w:t>
      </w:r>
    </w:p>
    <w:p>
      <w:r>
        <w:rPr>
          <w:b/>
        </w:rPr>
        <w:t>E. 6.2</w:t>
      </w:r>
    </w:p>
    <w:p>
      <w:r>
        <w:t>Si l'assuré est invalide (art. 8 LPGA) à 10 % au moins par suite d’un accident, il a droit à une rente d'invalidité, pour autant que l’accident soit survenu avant l’âge ordinaire de la retraite (art. 18 al. 1 LAA, dans sa teneur en vigueur à compter du 1 er janvier 2017).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w:t>
      </w:r>
    </w:p>
    <w:p>
      <w:r>
        <w:rPr>
          <w:b/>
        </w:rPr>
        <w:t>E. 6.3</w:t>
      </w:r>
    </w:p>
    <w:p>
      <w:r>
        <w:t>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6.4</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134 V 109 consid. 4.1 et les références ; arrêt du Tribunal fédéral 8C_39/2020 du 19 juin 2020 consid. 3.2 et les références).</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Sur la base de ces informations, les services de réadaptation professionnelle déterminent concrètement quels travaux on peut encore raisonnablement exiger (arrêt du Tribunal fédéral 9C_484/2016 du 10 février 2017 consid. 4.2.1 et les références). Ainsi, selon une jurisprudence constante, l'évaluation des activités adaptées aux limitations fonctionnelles est du ressort de l'administration, qui doit éventuellement faire appel à des spécialistes tels que des conseillers professionnels, et non du médecin, à qui il incombe en premier lieu de déterminer lesdites limitations fonctionnelles (ATF 140 V 193 consid. 3.2 ; 107 V 17 consid. 2b ; arrêt du Tribunal fédéral 8C_545/2012 du 25 janvier 2013 consid. 3.2.1).</w:t>
      </w:r>
    </w:p>
    <w:p>
      <w:r>
        <w:rPr>
          <w:b/>
        </w:rPr>
        <w:t>E. 8.1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8.2</w:t>
      </w:r>
    </w:p>
    <w:p>
      <w:r>
        <w:t>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et les références ; 135 V 465 consid. 4.4 et les références ;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10.1</w:t>
      </w:r>
    </w:p>
    <w:p>
      <w:r>
        <w:t>En l’espèce, le recourant conteste la position de la CNA faisant valoir qu’il y a lieu de prendre en compte ses atteintes psychiques, ses céphalées, ses vertiges et ses pertes de connaissance afin de fixer ses droits. De son côté, la CNA considère que, sur la base des éléments au dossier, ces troubles ne sont pas ou plus en lien de causalité avec l’accident.</w:t>
      </w:r>
    </w:p>
    <w:p>
      <w:r>
        <w:rPr>
          <w:b/>
        </w:rPr>
        <w:t>E. 10.2</w:t>
      </w:r>
    </w:p>
    <w:p>
      <w:r>
        <w:t>S’agissant des troubles psychiques, il sera relevé que l’expertise du Dr P______ a permis de mettre en lumière non seulement leur existence, mais également leur évolution et leur aggravation.</w:t>
      </w:r>
    </w:p>
    <w:p>
      <w:r>
        <w:rPr>
          <w:b/>
        </w:rPr>
        <w:t>E. 10.3</w:t>
      </w:r>
    </w:p>
    <w:p>
      <w:r>
        <w:t>En premier lieu et compte tenu de la jurisprudence en matière d’atteintes psychiques, il y a lieu de déterminer si l’état de santé du recourant est stabilisé sur le plan physique, ce qui implique d’examiner les documents médicaux au dossier et de distinguer les atteintes psychiques de celles relevant du volet psychique. Bien qu’elle ait été ordonnée par l’OAI, il sied de constater que l’expertise du 14 juin 2022 répond aux réquisits permettant de lui reconnaître de manière générale une pleine valeur probante. Elle est en effet fondée sur l’ensemble des pièces du dossier, une anamnèse et un examen du recourant, et elle est bien motivée, en particulier sur les rapports médicaux pertinents du dossier. Par rapport du 25 avril 2018, le Prof. H______ a conclu que les vertiges et les pertes de connaissance, qui étaient probablement en lien avec l’accident vu leur temporalité, ne justifiaient plus en eux-mêmes d’arrêt de travail. Par rapport du 12 juin 2018, les Dres F______ et K______ ont admis le lien de causalité entre les vertiges et l’accident et confirmé sur la base des conclusions du Prof. H______ et des résultats du bilan pratiqué par ce dernier qu’ils ne justifiaient ni incapacité de travail, ni indemnité pour atteinte à l’intégrité. Le recourant n’a produit aucun document permettant de remettre en cause lesdites conclusions motivées, étant relevé que les vertiges et pertes de connaissance ne sont plus mentionnés dans les nombreux rapports médicaux produits postérieurement par le recourant. S’agissant des céphalées, il ressort du dossier que plusieurs neurologues ont examiné ou se sont prononcés sur le cas du recourant, ce dernier a par ailleurs été soumis à plusieurs examens qui se sont tous avérés normaux et n’ont pas mis en évidence de lésion post-traumatique. De même, tant la Dre E______ que l’expert, le Dr U______, et le Dr C______ ont conclu à un examen clinique normal sur le plan neurologique. À ce stade, il sied de relever que, d’après ses déclarations de novembre 2016 à la CNA, le recourant ne comprenait pas pourquoi il avait mal à la tête et à la nuque car il n’avait pas souvenir d’avoir tapé la tête lors de ses chutes et ne se rappelait pas avoir eu mal à la nuque ou au crâne lorsqu’il avait retrouvé ses esprits. L’argumentation de la Dre E______ pour mettre en lien les céphalées avec l’accident repose uniquement sur le fait qu’elles sont apparues après celui-ci, ce qui est insuffisant selon la jurisprudence. La Cour rappellera que, dans son dernier rapport au dossier datant de novembre 2019, la Dre E______ reconnaissait l’absence de séquelle sur l’imagerie, l’examen neurologique tout à fait rassurant et admettait que les céphalées étaient multifactorielles, secondaires aux apnées du sommeil, à l’abus d’antalgique pris dans le cadre des problèmes de cheville, des migraines et des céphalées de tension post-traumatiques. Dans son rapport d’expertise, le Dr U______ a noté que les céphalées n’étaient pas spécifiques et survenaient dans un contexte de douleur assez diffus. Il s’agissait très vraisemblablement d’une céphalée psychogène. Il en allait de même s’agissant de la symptomatologie vertigineuse rotatoire. Tout au plus, il pouvait être éventuellement admis une labilité tensionnelle qui serait potentiellement responsable de sensations lipothymiques, voire de perte de connaissance. Il n’y avait donc aucun diagnostic neurologique influençant la capacité de travail. Au vu de ce qui précède, sur la base des éléments du dossier, il y a lieu de retenir que les céphalées et les vertiges avec pertes de connaissance relèvent des atteintes psychiques. Par conséquent, seule l’atteinte à la cheville et son évolution doivent être examinées afin de déterminer la date de la stabilisation de l’état de santé. Il ressort du dossier que la date de stabilisation retenue par la CNA, soit au 31 décembre 2021, a été fixée par son médecin d’assurance, le Dr O______ sur la base du rapport des Drs I______ et N______, soit les spécialistes suivant le recourant. Les rapports produits dans le cadre la procédure de recours ne remettent pas en cause la date de stabilisation de l’état de santé s’agissant de la cheville, la seule aggravation constatée résultant du volet psychique. Il en résulte que les critères jurisprudentiels doivent être examinés à la date de clôture du 31 décembre 2021. En reprenant les circonstances des accidents de juin et d’août 2016, il y a lieu de le classer dans les accidents de moyenne gravité à la limite des cas de peu de gravité. Le recourant étant tombé seul, de sa hauteur, le caractère particulièrement impressionnant de l’accident ou des circonstances concomitantes particulièrement dramatiques doivent être écartés. Concernant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 sont également à prendre en considération la nature et l'intensité du traitement, et si l'on peut en attendre une amélioration de l'état de santé de l'assuré (arrêts du Tribunal fédéral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 En l’espèce, le recourant a été traité dans un premier temps de manière conservative avant de subir deux interventions, soit en mars 2019 et en février 2021. Il a par ailleurs été hospitalisé au total six jours. Ces opérations n’ont pas connu de complications. Par conséquent, les spécificités du cas d’espèce ne permettent pas de retenir ce critère. Les critères de difficultés apparues au cours de la guérison et de complications importantes ne doivent pas être remplis de manière cumulative (ATF 117 V 359 consid. 7b). Dans ce contexte, il y a lieu de préciser que les critères du traitement médical et des douleurs persistantes ne permettent pas de conclure à l’existence de difficultés apparues au cours de la guérison ou à celle de complications importantes. Il faut, dans ce contexte, l’existence de motifs particuliers ayant entravé la guérison. La prise de nombreux médicaments et la réalisation de différentes thérapies ne suffisent pas pour admettre ce critère. Il en va de même du fait qu’en dépit de thérapies régulières, il n’a pas été possible de supprimer les douleurs ou d’obtenir une capacité de travail (entière) (arrêts 8C_252/2007 du 16 mai 2008 consid. 7.6 et 8C_57/2008 du 16 mai 2008 également consid. 9.6.1). Par ailleurs, une éventuelle intolérance aux antidouleurs ne doit pas être examinée en relation avec le critère des difficultés apparues en cours de guérison ou des complications importantes mais en lien avec le critère des douleurs persistantes (arrêt du Tribunal fédéral 8C_275/2008 du 2 décembre 2008 consid. 3.3.6). In casu , la Cour de céans considère que ce critère n’est pas réalisé puisqu’il n’y a pas eu de motif particulier ayant entravé la guérison. Pour être retenu, le critère de la gravité ou de la nature particulière des lésions physiques, compte tenu notamment du fait qu'elles sont propres, selon l'expérience, à entrainer des troubles psychiques, postule d'abord l'existence de lésions physiques graves ou, s'agissant de la nature particulière des lésions physiques, d'atteintes à des organes auxquels l'homme attache normalement une importance subjective particulière, par exemple la perte d'un œil ou certains cas de mutilations à la main dominante (arrêts du Tribunal fédéral 8C_235/2020 du 15 février 2021 consid. 4.3.2 et les références ; 8C_612/2019 du 30 juin 2020 ; 8C_236_2023 du 22 février 2024 consid. 3.4.2). Dans le cas d’espèce, il n’y a pas lieu non plus d’admettre ce critère, le recourant ayant essentiellement subi une entorse grave à la cheville. Le recourant ne prétend pas avoir été victime d’une erreur médicale, ce qui ne ressort pas non plus du dossier. Quant au critère du degré et de la durée de l'incapacité de travail due aux lésions physiques,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 du Tribunal fédéral 8C_93/2022 du 19 octobre 2022 consid. 5.3 et la référence). Ce critère est en principe admis en cas d’incapacité totale de travail de près de trois ans (arrêts du Tribunal fédéral 8C_600/2020 du 3 mai 2021 consid. 4.2.4 et 8C_547/2020 du 1er mars 2021 consid. 5.1 et les références). Ce critère n’est en revanche pas rempli dans le cas d’un assuré qui s’est trouvé en incapacité de travail totale pendant un peu plus d’une année (arrêt du Tribunal fédéral 8C_209/2020 du 18 janvier 2021 consid. 5.2.2), pendant un an et demi (arrêt du Tribunal fédéral 8C_627/2019 du 10 mars 2020 consid. 5.4.5), pendant 20 mois (arrêt du Tribunal fédéral 8C_93/2022 du 19 octobre 2022 consid. 5.3), pendant 21 mois (arrêt du Tribunal fédéral 8C_600/2020 précité consid. 4.2.4) ou encore pendant deux ans et quatre mois (arrêt du Tribunal fédéral 8C_547/2020 précité consid. 5.3 et 5.4). En l’espèce, la pleine capacité de travail dans une activité adaptée a été admise à compter d’octobre 2021. Compte tenu de la durée de l’incapacité de travail, ce critère est donc réalisé. Enfin, s'agissant du critère des douleurs persistantes, il faut que des douleurs importantes aient existé sans interruption notable durant tout le temps écoulé entre l'accident et la clôture du cas au sens de l'art. 19 al. 1 LAA. L'intensité des douleurs est examinée au regard de leur crédibilité, ainsi que de l'empêchement qu'elles entrainent dans la vie quotidienne (ATF 134 V 109 consid. 10.2.4). Compte tenu des éléments au dossier, il y a lieu de constater que les douleurs ont nettement diminué pendant certaines périodes, de sorte que ce critère doit être écarté. Dès lors, seul un critère peut être considéré comme réalisé ‑ sans l’intensité exigée par la jurisprudence pour qu’un seul critère soit pertinent -, de sorte que le lien de causalité adéquate entre les troubles psychiques du recourant et l’accident doit être nié, étant relevé que la jurisprudence évalue sévèrement les cas dans lesquels ces critères sont admis. Il en résulte que c’est à juste titre que l’intimée a retenu que les troubles psychiques ne relevaient pas de l’assurance-accident. Le recourant a conclu à la reprise du versement de l’indemnité journalière suite à l’aggravation de l’atteinte psychique documentée par l’expertise privée. Cette dernière n’étant pas en lien de causalité avec l’accident, la fin du versement des indemnités journalières au 31 décembre 2021, doit être confirmée.</w:t>
      </w:r>
    </w:p>
    <w:p>
      <w:r>
        <w:rPr>
          <w:b/>
        </w:rPr>
        <w:t>E. 11.1</w:t>
      </w:r>
    </w:p>
    <w:p>
      <w:r>
        <w:t>S’agissant du taux d’invalidité, le recourant conteste disposer d’une pleine capacité de travail et sollicite l’application d’un abattement de 20% compte tenu en particulier de son âge et de ses limitations fonctionnelles. L’intimée s’y oppose.</w:t>
      </w:r>
    </w:p>
    <w:p>
      <w:r>
        <w:rPr>
          <w:b/>
        </w:rPr>
        <w:t>E. 11.2</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137 V 334 consid. 3.3.1).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11.3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8C_50/2022 du 11 août 2022 consid. 5.1.1 et la référence). Le salaire réalisé en dernier lieu par l'assuré comprend tous les revenus d'une activité lucrative (y compris les gains accessoires et la rémunération des heures supplémentaires effectuées de manière régulière) soumis aux cotisations à l'assurance-vieillesse et survivants. En effet, l'art. 25 al. 1 du règlement sur l’assurance-invalidité du 17 janvier 1961 (RAI – RS 831.201) établit un parallèle entre le revenu soumis à cotisation à l'AVS et le revenu à prendre en considération pour l'évaluation de l'invalidité ; le parallèle n'a toutefois pas valeur absolue. Cette réglementation est applicable par analogie dans le domaine de l'assurance-accident, dès lors que la notion d'invalidité y est la même que dans l'assurance-invalidité. On rappellera cependant que l'évaluation de l'invalidité par l'assurance-invalidité n'a pas de force contraignante pour l'assureur-accidents de même, l'assurance-invalidité n'est pas liée par l'évaluation de l'invalidité de l'assurance-accidents. Pour établir le salaire réalisé en dernier lieu et son évolution subséquente, on se fondera en premier lieu sur les renseignements fournis par l'employeur. Tant pour les personnes salariées que pour celles de condition indépendante, on peut également se référer aux revenus figurant dans l'extrait du compte individuel de l'AVS (arrêt du Tribunal fédéral 8C_679/2020 du 1 er juillet 2021 consid. 5.1 et les références).</w:t>
      </w:r>
    </w:p>
    <w:p>
      <w:r>
        <w:rPr>
          <w:b/>
        </w:rPr>
        <w:t>E. 11.4</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148 V 174 consid. 6.3 et les références ; ATF 135 V 297 consid. 5.2; ATF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ATF 146 V 16 consid. 4.1 et les références; ATF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ATF 126 V 75 consid. 5b/bb et les références ; arrêt du Tribunal fédéral 8C_608/2021 du 26 avril 2022 consid. 3.3 et les références).</w:t>
      </w:r>
    </w:p>
    <w:p>
      <w:r>
        <w:rPr>
          <w:b/>
        </w:rPr>
        <w:t>E. 11.5</w:t>
      </w:r>
    </w:p>
    <w:p>
      <w:r>
        <w:t>À cet égard, le pouvoir d'examen de l’autorité judiciaire cantonale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À cet égard, le tribunal des assurances sociales ne peut pas, sans motif pertinent, substituer sa propre appréciation à celle de l'administration; il doit s'appuyer sur des circonstances de nature à faire apparaître sa propre appréciation comme la mieux appropriée (ATF 137 V 71 consid. 5.2 et la référence).</w:t>
      </w:r>
    </w:p>
    <w:p>
      <w:r>
        <w:rPr>
          <w:b/>
        </w:rPr>
        <w:t>E. 11.6</w:t>
      </w:r>
    </w:p>
    <w:p>
      <w:r>
        <w:t>Concernant l'abattement pour les limitations fonctionnelles, on rappellera qu'une réduction au titre du handicap dépend de la nature des limitations fonctionnelles présentées et n'entre en considération que si, sur un marché du travail équilibré, il n'y a plus un éventail suffisamment large d'activités accessibles à l'assuré (ATF 148 V 419 consid. 6 et les références).</w:t>
      </w:r>
    </w:p>
    <w:p>
      <w:r>
        <w:rPr>
          <w:b/>
        </w:rPr>
        <w:t>E. 11.7</w:t>
      </w:r>
    </w:p>
    <w:p>
      <w:r>
        <w:t>Le point de savoir si, dans le domaine de l'assurance-accidents obligatoire, l'âge avancé peut constituer un critère d'abattement ou si l'influence de l'âge sur la capacité de gain doit être prise en compte uniquement dans le cadre de la réglementation particulière de l'art. 28 al. 4 OLAA, n'a pas encore été tranché par le Tribunal fédéral (arrêt du Tribunal fédéral 8C_507/2022 du 28 novembre 2022 consid. 6.5 et les références). Selon la jurisprudence, l'âge d'un assuré ne constitue pas en soi un facteur de réduction du salaire statistique. Autrement dit, il ne suffit pas de constater qu'un assuré a dépassé la cinquantaine au moment déterminant du droit à la rente pour que cette circonstance justifie de procéder à un abattement. Le Tribunal fédéral a insisté sur ce point et a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professionnelles de l'assuré concerné (ATF 148 V 419 consid. 8.2 et la référence).</w:t>
      </w:r>
    </w:p>
    <w:p>
      <w:r>
        <w:rPr>
          <w:b/>
        </w:rPr>
        <w:t>E. 11.8</w:t>
      </w:r>
    </w:p>
    <w:p>
      <w:r>
        <w:t>Le salaire fondé sur les ESS doit encore être adapté à l’horaire de travail usuel de la branche, et indexé à l’année déterminante en tenant compte des valeurs spécifiques au sexe (ATF 129 V 408).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(cf. ATF 143 V 295 consid. 4.1.3 ; arrêt du Tribunal fédéral 8C_659/2022 du 2 mai 2023 consid. 7.2).</w:t>
      </w:r>
    </w:p>
    <w:p>
      <w:r>
        <w:rPr>
          <w:b/>
        </w:rPr>
        <w:t>E. 11.9</w:t>
      </w:r>
    </w:p>
    <w:p>
      <w:r>
        <w:t>S’agissant du revenu sans invalidité, lorsqu'il apparait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références). Le revenu effectivement réalisé doit être considéré comme nettement inférieur aux salaires habituels de la branche lorsqu'il est inférieur d'au moins 5% au salaire statistique usuel dans la branche (ATF 135 V 297 consid. 6.1.2 ; arrêt du Tribunal fédéral 8C_677/2021 du 31 janvier 2022 consid. 4.2.2).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 arrêt du Tribunal fédéral 9C_692/2010 du 31 janvier 2011 consid. 3.4).</w:t>
      </w:r>
    </w:p>
    <w:p>
      <w:r>
        <w:rPr>
          <w:b/>
        </w:rPr>
        <w:t>E. 11.10</w:t>
      </w:r>
    </w:p>
    <w:p>
      <w:r>
        <w:t>In casu , comme établi précédemment, seules les atteintes à la cheville doivent être prises en comptes pour fixer la capacité de travail résiduelle. Or, hormis le Dr C______ qui retient une totale incapacité de travail sans motiver sa position, l’expert, le Dr T______ et le Dr O______ ont conclu à une totale capacité de travail dans une activité adaptée. Il sera relevé que le Dr N______, bien qu’il n’avance pas de taux de capacité de travail précis, préconise une réorientation vers une activité qui ne devra pas comporter de mobilisation ni charges excessives du membre inférieur droit, ce qui rejoint les conclusions des Drs T______ et O______. À défaut d’éléments permettant de remettre en cause les conclusions des Drs T______ et O______, le grief du recourant s’avère infondé. S’agissant du revenu avant invalidité et conformément aux renseignements fournis par l’employeur de l’assuré, il se serait élevé à CHF 50'536.- en 2021. Le recourant fait valoir que le salaire minimum à Genève est supérieur et doit donc être pris en compte. Cependant, dans la mesure où le salaire sans invalidité doit être évalué de la façon la plus concrète possible et au vu du fait qu'à Genève la loi sur l'inspection et les relations du travail du 12 mars 2004 (LIRT - J 1 05) impose un salaire minimum à respecter en faveur de tous les travailleurs accomplissant habituellement leur travail dans le canton, sauf exception non pertinente en l'espèce (art. 39I et 39J LIRT), il se justifie de prendre en compte cette donnée pour le cas où elle est supérieure au salaire réel. En 2021, année déterminante pour l'évaluation de l'invalidité du recourant, le salaire horaire minimum à Genève était de CHF 23.14 (cf. art. 39K al. 1 et 3 LIRT prévoyant un salaire minimum de CHF 23.- par heure, indexé chaque année sur la base de l'indice des prix à la consommation ; art. 1 al. 1 de l'arrêté relatif au salaire minimum cantonal pour les années 2020 et 2021 [ArSMC-2022 - J 1 05.03] du 28 octobre 2020). En tenant compte de la durée hebdomadaire normale de travail dans la restauration, à savoir 42.4 heures en 2021 (cf. tableau T 03.02.03.01.04.01 « durée normale du travail dans les entreprises selon la division économique en heures par semaine », ligne 56), le salaire mensuel s'élève à CHF 4'251.60 (23.14 x 42.4 x 52/12). Il se justifie par ailleurs de tenir compte d'un 13 e salaire équivalent à 100% d'un salaire mensuel brut, ce 13 e salaire étant obligatoire pour les travailleurs occupés dans des établissements de restauration, en vertu de l'art. 13 de la convention collective nationale de travail pour les hôtels, restaurants et cafés (CCNT). Par conséquent, le revenu sans invalidité doit être fixé à CHF 55'271.- (4'251.60 x 13 = 55'270.80) En ce qui concerne le revenu avec invalidité, à défaut de reprise professionnelle, il y a lieu de se référer au tableau TA1_tirage_skill_level de l'ESS 2020, dont il ressort que le revenu statistique tiré d'activités physiques ou manuelles simples dans le secteur privé s'élève à CHF 5'261.- pour un homme (niveau 1, total, part au 13 e salaire comprise), ou à CHF 63'132.- par année pour un plein temps (5'261 × 12). Le salaire hypothétique de CHF 63'132.- se base sur une durée hebdomadaire de travail de 40 heures, inférieure à la moyenne usuelle dans les entreprises. Il convient dès lors de l’ajuster à la durée hebdomadaire normale de travail en 2020 (arrêt du Tribunal fédéral 9C_603/2015 du 25 avril 2016 consid. 8.1), laquelle est de 41.7 heures (tableau « Durée normale du travail dans les entreprises selon la division économique » de l’OFS), ce qui porte le salaire annuel à CHF 65'815.11 pour un plein temps (63'132 × 41.7 / 40). Il sied de rappeler que la jurisprudence a fixé que la valeur centrale s’applique notamment aux assurés qui ne peuvent plus accomplir leur ancienne activité car elle est physiquement trop astreignante, mais qu’ils conservent néanmoins une capacité de travail importante dans des travaux légers puisqu’elle recouvre un large éventail d’activité variées et non qualifiées, ce qui est le cas du recourant. Il reste dès lors à indexer le salaire avec invalidité. Selon le tableau T1.93 publié par l'OFS, les salaires nominaux des hommes ont évolué comme suit : - 0.7% en 2021 (disponible sur : https:// www.bfs.admin.ch/bfs/fr/home/statistiques/travail-remuneration/salaires-revenus-cout-travail/indice-salaires/par-sexe.assetdetail.24745533.html). Il en résulte un revenu d’invalide de CHF 65'354.40 (65'815.11 – 460.71 en 2021 = 65'354.40). Le recourant conclut à l’application d’un abattement de 20% en raison en particulier de son âge et de ses limitations fonctionnelles. L’intimée a retenu un abattement de 5% afin de tenir compte des limitations fonctionnelles. Conformément à la jurisprudence en la matière, les activités du niveau de compétence 1 ne requièrent ni formation, ni expérience professionnelle spécifique, elles sont par ailleurs disponibles indépendamment de l’âge. Dans ce contexte, les années de services ont peu d’importance. Par ailleurs, vu le large éventail d’activité variées et non qualifiées qui sont incluses dans le niveau de compétence 1, l’accessibilité du recourant à des activités adaptées et respectueuse de ses limitations est garanti. Il sied par ailleurs de relever que le recourant vit de très longue date à Genève et est de nationalité suisse. En conséquence, l’abattement admis par l’intimée ne prête pas flanc à la critique En conséquence, le revenu d'invalide doit être fixé au montant arrondi de CHF 62'087.-, lequel est supérieur au revenu de valide qu’on se réfère au revenu annoncé par l’employeur (CHF 50’536.-) ou qu’on se base sur le salaire minimum genevois. En effet, conformément aux principes précités, force est de constater que le salaire minimum genevois dépasse de plus de 5% le salaire avant invalidité établi selon les déclarations de l’employeur. La différence est de l’ordre de 8,6%. Conformément à la jurisprudence, il convient donc de paralléliser les revenus à comparer à concurrence de la part qui excède le taux minimal déterminant de 5% (ATF 135 V 297 consid. 6.1.3 ; arrêt du Tribunal fédéral 8C_557/2012 précité, consid. 4.2), ce qui conduit à un revenu arrondi avant invalidité de CHF 52'507.45 (CHF 55’271.- sous déduction de 5% de ce montant). Au vu de ce qui précède, le droit à la rente n’est pas ouvert.</w:t>
      </w:r>
    </w:p>
    <w:p>
      <w:r>
        <w:rPr>
          <w:b/>
        </w:rPr>
        <w:t>E. 12.1</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 considérations d'ordre subjectif ou personnel (ATF 115 V 137 consid. 1 ; arrêts du Tribunal fédéral 8C_656/2022 du 5 juin 2023 consid. 3.2 et les références; 8C_703/2008 du 25 septembre 2009 consid. 5.1 et les références). L'atteinte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(arrêt du Tribunal fédéral 8C_656/2022 du 5 juin 2023 consid. 3.4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113 V 218 consid. 4b et les références ; 125 II 169 consid. 2d). Selon l’art. 36 OLAA, édicté conformément à la délégation de compétence de l’art. 25 al. 2 LAA, une atteinte à l'intégrité est réputée durable lorsqu'il est prévisible qu'elle subsistera avec au moins la même gravité pendant toute la vie (al. 1, 1ère phrase) ;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Cette disposition a été jugée conforme à la loi en tant qu'elle définit le caractère durable de l'atteinte (ATF 133 V 224 consid. 2 ; arrêt du Tribunal fédéral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113 V 218 consid. 4b ; RAMA 2004 p. 415 ; arrêt du Tribunal fédéral U 134/03 du 12 janvier 2004 consid. 5.2). L'évaluation de l'atteinte à l'intégrité se fonde sur les constats médicaux, de sorte qu'il incombe, dans un premier temps, au médecin de se prononcer, en tenant compte des atteintes énumérées à l'annexe 3 de l'OLAA et dans les tables de la SUVA, sur la question de savoir si, et dans quelle mesure, il existe un dommage. Il appartient toutefois à l'administration ou au tribunal de procéder à l'évaluation juridique, sur la base des constatations médicales, de l'existence d'une atteinte à l'intégrité, de déterminer si le seuil de gravité est atteint et, dans l'affirmative, l'étendue de l'atteinte. Bien que l’administration et le tribunal doivent s'en tenir aux données médicales, l'évaluation de l'atteinte à l'intégrité, en tant que fondement du droit aux prestations, relève, en fin de compte, de leur domaine de compétence (arrêt du Tribunal fédéral 8C_746/2022 du 18 octobre 2023 consid. 4.2 et les références ; sur la répartition des tâches entre le médecin et l'administration ou le tribunal, cf. également ATF 140 V 193 consid. 3.2). La Division médicale de la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w:t>
      </w:r>
    </w:p>
    <w:p>
      <w:r>
        <w:rPr>
          <w:b/>
        </w:rPr>
        <w:t>E. 12.2</w:t>
      </w:r>
    </w:p>
    <w:p>
      <w:r>
        <w:t>L’intimée a fixé le taux d’atteinte à l’intégrité à 10% en se basant sur les conclusions du Dr O______ qui s’est référé à la table n° 6 pour une atteinte à l’intégrité résultant d’une instabilité articulaire. Le recourant conteste ce taux en invoquant la prise en compte d’autres atteintes que sa cheville. Le recourant ne produit aucun rapport médical contredisant l’appréciation du Dr O______, il ne conteste pas le taux retenu pour sa cheville, mais entend prendre en compte des atteintes dont il a été établi qu’elles ne sont pas imputables à ses accidents. La Cour de céans estime que la position de l’intimée est médicalement documentée. Le taux de l’indemnité pour atteinte à l’intégrité de 10% sera donc confirmé.</w:t>
      </w:r>
    </w:p>
    <w:p>
      <w:r>
        <w:rPr>
          <w:b/>
        </w:rPr>
        <w:t>E. 13</w:t>
      </w:r>
    </w:p>
    <w:p>
      <w:r>
        <w:t>Au vu de ce qui précède, le recours est rejeté. Pour le surplus, la procédure est gratuite (art. 61 let. fbis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