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A/748/2004 vom 22. Juni 2004</w:t>
      </w:r>
    </w:p>
    <w:p>
      <w:r>
        <w:t>GE Cour de justice, 2004-06-22, FR</w:t>
      </w:r>
    </w:p>
    <w:p>
      <w:r>
        <w:rPr>
          <w:b/>
        </w:rPr>
        <w:t xml:space="preserve">Quelle: </w:t>
      </w:r>
      <w:r>
        <w:t>https://mcp.opencaselaw.ch/entscheid/ge_gerichte_A_748_2004</w:t>
      </w:r>
    </w:p>
    <w:p>
      <w:r>
        <w:t>FR: GE_GERICHTE A/748/2004 du 22 juin 2004</w:t>
      </w:r>
    </w:p>
    <w:p>
      <w:r>
        <w:t>IT: GE_GERICHTE A/748/2004 del 22 giugno 2004</w:t>
      </w:r>
    </w:p>
    <w:p>
      <w:pPr>
        <w:pStyle w:val="Heading2"/>
      </w:pPr>
      <w:r>
        <w:t>Volltext</w:t>
      </w:r>
    </w:p>
    <w:p>
      <w:r>
        <w:t>Genève Cour de justice (Cour de droit public) Chambre des assurances sociales 22.06.2004 A/748/2004</w:t>
      </w:r>
    </w:p>
    <w:p>
      <w:r>
        <w:t>A/748/2004 ATAS/486/2004 du 22.06.2004 ( AVS ) , DEPENS RÉPUBLIQUE ET CANTON DE GENÈVE POUVOIR JUDICIAIRE A/748/04/2/LAVS ATAS/486/2004 ARRET DU TRIBUNAL CANTONAL DES ASSURANCES SOCIALES 2 ème chambre du 22 juin 2004 En la cause Monsieur M__________ , recourant contre CAISSE CANTONALE GENEVOISE DE COMPENSATION (CCGC) , rte de Chêne 54 à Genève intimée Vu le recours portant sur les inscriptions au CI du recourant pour les années 1966 à 1968, la procédure et les pièces au dossier ; Vu l’audience de comparution personnelle des parties du 15 juin 2004; Vu l’accord intervenu entre les parties à cette occasion; Qu’en effet, au vu des explications reçues, le recourant a indiqué retirer son recours, pour autant que la Caisse vérifie son calcul de rente, en particulier ce qu’il en est des années de cotisation ; Que la Caisse s’y est engagée ; Qu’il y a lieu d’entériner cet accord. *** PAR CES MOTIFS, LE TRIBUNAL CANTONAL DES ASSURANCES SOCIALES Statuant d’accord entre les parties (conformément à la disposition transitoire de l’art. 162 LOJ) Donne acte à la Caisse de son engagement à vérifier le calcul de rente du recourant, en particulier ce qu’il en est des années de cotisation. Donne acte au recourant du retrait de son recours, vu ce qui précède.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