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A/741/2007 vom 4. September 2007</w:t>
      </w:r>
    </w:p>
    <w:p>
      <w:r>
        <w:t>GE Cour de justice, 2007-09-04, FR</w:t>
      </w:r>
    </w:p>
    <w:p>
      <w:r>
        <w:rPr>
          <w:b/>
        </w:rPr>
        <w:t xml:space="preserve">Quelle: </w:t>
      </w:r>
      <w:r>
        <w:t>https://mcp.opencaselaw.ch/entscheid/ge_gerichte_A_741_2007</w:t>
      </w:r>
    </w:p>
    <w:p>
      <w:r>
        <w:t>FR: GE_GERICHTE A/741/2007 du 4 septembre 2007</w:t>
      </w:r>
    </w:p>
    <w:p>
      <w:r>
        <w:t>IT: GE_GERICHTE A/741/2007 del 4 settembre 2007</w:t>
      </w:r>
    </w:p>
    <w:p>
      <w:pPr>
        <w:pStyle w:val="Heading2"/>
      </w:pPr>
      <w:r>
        <w:t>Erwägungen</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L'OCAI ayant entamé la procédure de révision qui a conduit à sa décision sur opposition du 5 octobre 2006, en mai 2004, la LPGA s'applique au cas d'espèce.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Le Tribunal de céans constate que le recours, interjeté dans les formes et délai légaux prévus par l’art. 60 LPGA, est recevable.</w:t>
      </w:r>
    </w:p>
    <w:p>
      <w:r>
        <w:rPr>
          <w:b/>
        </w:rPr>
        <w:t>E. 4</w:t>
      </w:r>
    </w:p>
    <w:p>
      <w:r>
        <w:t>Il y a lieu de constater, préalablement, que l'OCAI a traité la nouvelle demande déposée par l'assuré en novembre 2003 comme une demande de révision, ce à juste titre, puisqu'une aggravation de l'état de santé était alléguée. Il convient dès lors de déterminer si la décision de l’intimé pouvait être revue par la voie de la révision ou par celle de la reconsidération, puis d’établir, le cas échéant, le degré d’invalidité du recourant.</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 ni à reconsidération -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selon l'art. 17 LPGA doit ainsi clairement ressortir du dossier (ATFA non publié du 12 octobre 2005, I 8/04, consid. 2; MUELLER, Die materiellen Voraussetzungen der Rentenrevision in der Invalidenversicherung, thèse Fribourg 2002, pp. 133 ss). La réglementation sur la révision de la rente ne saurait en effet constituer un fondement juridique à un réexamen sans condition du droit à la rente. Enfin, il convient de préciser que l'art. 17 LPGA n'a pas apporté de modification aux principes jurisprudentiels développés sous le régime de l'ancien art. 41 LAI, en vigueur jusqu'au 31 décembre 2002 (ATF 130 V 343 consid. 3.5).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19 décembre 2002, I 222/02, consid. 3.2, et les références).</w:t>
      </w:r>
    </w:p>
    <w:p>
      <w:r>
        <w:rPr>
          <w:b/>
        </w:rPr>
        <w:t>E. 6</w:t>
      </w:r>
    </w:p>
    <w:p>
      <w:r>
        <w:t>Il convient tout d’abord de déterminer si la décision de l’OCAI du 2 mai 2002 peut être réexaminée par la voie de la révision. Pour que l’art. 17 LPGA s’applique, il faut que le taux d’invalidité ait subi une modification notable, après la décision initiale.</w:t>
      </w:r>
    </w:p>
    <w:p>
      <w:r>
        <w:rPr>
          <w:b/>
        </w:rPr>
        <w:t>E. 7</w:t>
      </w:r>
    </w:p>
    <w:p>
      <w:r>
        <w:t>En l'espèce, la Dresse J__________ a indiqué le 20 février 2006 que l'état de santé de l'assuré s'était aggravé depuis octobre 2003, du fait, plus particulièrement de l'apparition à cette date de lombosciatalgies gauches hyperalgiques chroniques. Elle estime alors la capacité de travail à 80% dans une activité adaptée. Le Dr F_________ a reconnu le 23 juin 2006, que l'importance de la symptomatologie douloureuse avait été sous-estimée lors de l'examen au SMR d'avril 2005, et a confirmé une capacité de travail entière dans une activité adaptée avec une diminution de rendement de 30%. Les conditions de la révision étant réalisées, c'est en conséquence à bon droit que l'OCAI a retenu une capacité de travail de 70% dans une activité adaptée dès octobre 2003, date de l'aggravation. L'OCAI a ainsi procédé au calcul du degré d'invalidité en retenant une capacité de travail de 70% et un abattement supplémentaire de 15% afin de tenir compte des limitations fonctionnelles reconnues par les médecins, et a obtenu le chiffre de 43%, lequel ouvre droit à un quart de rente. Ce calcul n'est pas critiquable. S'agissant de la prise en charge d'éventuelles mesures de réadaptation, l'OCAI a rappelé qu'un stage d'observation et un stage d'orientation avaient déjà été mis en place et considère que d'autres mesures visant à une orientation ou un reclassement ne sont pas indiquées, ce d'autant moins que l'assuré revendique une rente entière en se déclarant "incapable de maintenir une quelconque position au-delà de quelques minutes". Le Tribunal de céans constate cependant que celui-ci persiste à solliciter l'octroi de mesures professionnelles. La démarche "placement" a du reste été suspendue dans l'attente de l'entrée en force de la décision litigieuse. Il se justifiera dès lors de la reprendre, afin que sa capacité résiduelle de travail puisse être exploitée, étant à cet égard rappelé que l'assuré a démontré, à réitérées reprises, sa volonté de retrouver un emploi adapté.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