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A/740/2007 vom 16. Juni 2002</w:t>
      </w:r>
    </w:p>
    <w:p>
      <w:r>
        <w:t>GE Cour de justice, 2002-06-16, FR</w:t>
      </w:r>
    </w:p>
    <w:p>
      <w:r>
        <w:rPr>
          <w:b/>
        </w:rPr>
        <w:t xml:space="preserve">Quelle: </w:t>
      </w:r>
      <w:r>
        <w:t>https://mcp.opencaselaw.ch/entscheid/ge_gerichte_A_740_2007</w:t>
      </w:r>
    </w:p>
    <w:p>
      <w:r>
        <w:t>FR: GE_GERICHTE A/740/2007 du 16 juin 2002</w:t>
      </w:r>
    </w:p>
    <w:p>
      <w:r>
        <w:t>IT: GE_GERICHTE A/740/2007 del 16 giugno 2002</w:t>
      </w:r>
    </w:p>
    <w:p>
      <w:pPr>
        <w:pStyle w:val="Heading2"/>
      </w:pPr>
      <w:r>
        <w:t>Erwägungen</w:t>
      </w:r>
    </w:p>
    <w:p>
      <w:r>
        <w:rPr>
          <w:b/>
        </w:rPr>
        <w:t>E. 3</w:t>
      </w:r>
    </w:p>
    <w:p>
      <w:r>
        <w:t>Elle a séjourné à la Clinique romande de réadaptation (CRR) du 18 juin au 19 juillet 2002. Les médecins ont retenu les diagnostics de lombalgies chroniques, de scoliose lombaire sinistro-convexe, de spondylose lombaire étagée et d'obésité d'une part, de trouble dépressif majeur degré moyen, et de trouble somatoforme douloureux persistant. Ils ont estimé l'incapacité de travail dans la profession d'aide hospitalière à 100%, à réévaluer. Le rapport de physiothérapie établi à sa sortie indique qu'elle parvient à monter et descendre 26 escaliers mais avec peine et lenteur, qu'elle peut marcher sans aide auxiliaire mais avec lenteur, qu'elle parvient à s'habiller seule mais avec peine pour les chaussettes, les bas, les chaussures et la culotte et qu'elle est indépendante pour les transferts avec peine et lenteur. Selon le consilium psychiatrique daté du 26 juin 2002, "l'observation nous met en présence d'une personne théâtrale, démonstrative, se mouvant avec peine et avec une boiterie d'allure grotesque. L'abaissement de l'humeur est par contre net et ne fait aucun doute, même si là aussi il y a des éléments histrioniques. Actuellement pas d'idées suicidaires. Pas d'anxiété pour un trouble spécifique. Pas d'éléments pour des troubles psychotiques florides".</w:t>
      </w:r>
    </w:p>
    <w:p>
      <w:r>
        <w:rPr>
          <w:b/>
        </w:rPr>
        <w:t>E. 4</w:t>
      </w:r>
    </w:p>
    <w:p>
      <w:r>
        <w:t>Par décision sur opposition du 14 janvier 2003, la SUVA a considéré que l'accident n'avait engendré aucune lésion spécifique osseuse notamment et qu'elle avait tout au plus passagèrement décompensé, respectivement rendu douloureux, un très important état antérieur dégénératif au niveau de la colonne lombaire (scoliose lombaire, sinistro-convexe, spondylose étagée et arthrose). Quant à l'importante surcharge psychogène relevée lors du séjour CRR, elle a estimé, se fondant sur le rapport du Dr A__________, médecin d'arrondissement, du 7 janvier 2003, que son lien de causalité naturelle avec l'accident du 22 janvier 2002 n'apparaissait pas sans autre et n'avait pas été clairement établi. Ladite décision sur opposition a été confirmée par le Tribunal administratif, alors compétent, dans son arrêt du 6 avril 2004. L'assurée a déposé le 6 juin 2003 une demande auprès de l'OFFICE CANTONAL DE L'ASSURANCE-INVALIDITE (ci-après OCAI) visant à l'octroi d'une rente d'invalidité. L'agence temporaire a informé l'OCAI qu'elle avait travaillé à plein temps, en tant qu'aide-hospitalière du 7 novembre 2001 au 22 janvier 2002, date à laquelle sa mission avait pris fin. Le Dr B__________, généraliste, médecin traitant, a indiqué dans son rapport du 6 octobre 2003, que sa patiente souffrait de lombalgies post-traumatiques et de lombosciatalgies des deux côtés depuis le 22 janvier 2002. Elle se plaint de douleurs plantaires des deux côtés et de douleurs au niveau de l'hallux valgus des deux côtés. Il a ajouté qu'elle présentait également une dépression nerveuse. Selon ce médecin, l'activité d'aide hospitalière n'était plus exigible et l'exercice d'une autre activité dépendait en partie de la psychothérapie. Il a relevé que la motivation pour une reprise de travail ou un reclassement était faible et que l'absentéisme prévisible dû à son état de santé était important.</w:t>
      </w:r>
    </w:p>
    <w:p>
      <w:r>
        <w:rPr>
          <w:b/>
        </w:rPr>
        <w:t>E. 8</w:t>
      </w:r>
    </w:p>
    <w:p>
      <w:r>
        <w:t>Le Tribunal de céans constate que ce rapport du 15 novembre 2005 se fonde sur un examen complet et prend en considération les plaintes exprimées par l'assurée. A cet égard, il est relevé que la souffrance de celle-ci est telle, qu'elle est mise dans un désarroi la conduisant à produire inconsciemment des symptômes sur un mode crescendo. Il a par ailleurs été établi en pleine connaissance de l'anamnèse, la description du contexte médical et l'appréciation de la situation médicale sont claires et enfin les conclusions des deux médecins sont dûment motivées. Ce rapport doit dès lors se voir reconnaître une pleine valeur probante.</w:t>
      </w:r>
    </w:p>
    <w:p>
      <w:r>
        <w:rPr>
          <w:b/>
        </w:rPr>
        <w:t>E. 9</w:t>
      </w:r>
    </w:p>
    <w:p>
      <w:r>
        <w:t>L'assurée conteste les conclusions de ce rapport, rappelant que selon les Drs D__________, F__________ et K__________, son incapacité de travail est de 100% depuis janvier 2002, quelle que soit l'activité envisagée. Le Tribunal de céans relève à cet égard que si ces médecins évaluent effectivement le taux d'incapacité de travail de leur patiente à 100%, c'est parce qu'ils tiennent compte tant de l'aspect somatique que psychique. Or, le syndrome algique chronique dont souffre sans doute l'assurée n'a pas de substrat organique, ce qui conduit précisément les médecins à poser le diagnostic de trouble somatoforme douloureux ou de fibromyalgie. Ce diagnostic ne suffit pas pour justifier l'octroi de prestations AI. La jurisprudence exige la présence manifeste d'une comorbidité psychiatrique d'une acuité et d'une durée importante . La Dresse H__________ a constaté que le trouble de la personnalité de type histrionique dont souffre l'assurée est réactionnel à une situation psychosociale (conflit conjugal) et ne constitue pas une comorbidité psychiatrique grave d'ordre médical. Les Drs D__________ et E__________ font état en mars et avril 2004 d'un état dépressif sévère sans symptômes psychotiques et le Dr F__________ d'un trouble dépressif majeur de degré moyen en juillet 2004. C'est le lieu de préciser, s'agissant des troubles dépressifs, que selon la doctrine médicale (cf. notamment DILLING/MOMBOUR/SCHMIDT [Hrsg.], Internationale Klassifikation psychischer Störungen, ICD-10 Kapitel V [F], 4 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w:t>
      </w:r>
    </w:p>
    <w:p>
      <w:r>
        <w:rPr>
          <w:b/>
        </w:rPr>
        <w:t>E. 12</w:t>
      </w:r>
    </w:p>
    <w:p>
      <w:r>
        <w:t>Il convient dès lors de conclure à l'absence de comorbidité psychiatrique grave et d'examiner si les autres critères dégagés par la jurisprudence du TFA, susceptibles de fonder un pronostic défavorable quant à l'exigibilité, au plan psychique, d'une reprise de l'activité professionnelle, sont ou non réalisés. Dans un tel cas en effet, l'incapacité de travail résultant de troubles psychiques s'évalue à la lumière de ces critères et non plus en regard des seules conclusions médicales dont il est dès lors possible de s'écarter. En l'occurrence, l'assurée présente certes des troubles statiques et dégénératifs chroniques relativement avancés sur le plan du rachis lombaire plus particulièrement, auxquels selon le Dr K__________, les différents traitements tentés n'ont pas apporté de soulagement. On ne peut toutefois considérer qu'elle subit une perte d'intégration sociale. La Dresse H__________ a à cet égard relevé que l'assurée vit avec son mari et son fils, qu'elle reçoit souvent la visite de sa fille aînée et entretient des contacts avec des voisins de son immeuble. On ne saurait non plus parler d'un état psychique cristallisé, étant au surplus relevé que l'assurée a cessé de consulter le Dr D__________ depuis septembre 2006. Force est, au vu de ce précède, de considérer que les troubles psychiques de l'assurée ne se manifestent pas avec une telle sévérité que, d'un point de vue objectif, ils excluent toute mise en valeur de sa capacité de travail. Reste à déterminer le degré d'invalidité de l'assurée en procédant à la comparaison des revenus avant et après invalidité.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16</w:t>
      </w:r>
    </w:p>
    <w:p>
      <w:r>
        <w:t>En l'espèce, le calcul auquel a procédé l'OCAI est conforme aux dispositions légales et réglementaires applicables, ainsi qu'à la jurisprudence du TFA. L'OCAI a à juste titre pris en considération les chiffres résultant de l'Enquête suisse sur la structure des salaires (ESS) 2003 pour établir le revenu avec invalidité.</w:t>
      </w:r>
    </w:p>
    <w:p>
      <w:r>
        <w:rPr>
          <w:b/>
        </w:rPr>
        <w:t>E. 17</w:t>
      </w:r>
    </w:p>
    <w:p>
      <w:r>
        <w:t>L'assuré conteste le taux d'abattement supplémentaire de 15% retenu par l'OCAI.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taux d'abattement pris en considération par l'OCAI de 15% n'est, au vu de ce qui précède, pas critiquable.</w:t>
      </w:r>
    </w:p>
    <w:p>
      <w:r>
        <w:rPr>
          <w:b/>
        </w:rPr>
        <w:t>E. 18</w:t>
      </w:r>
    </w:p>
    <w:p>
      <w:r>
        <w:t>Aussi la décision de l'OCAI niant le droit de l'assurée à une rente doit-elle être confirmée. Selon l'art. 8 al. 1 LAI, en sa nouvelle teneur en vigueur depuis le 1er janvier 2004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 art. 8 al. 3 let. b LAI; cf. également art. 15 à 18 LAI). 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En l'espèce, compte tenu du fait que l'assurée s'estime incapable de travailler, il y a lieu d'admettre, avec l'OCAI, que de telles mesures seraient vouées à l'échec. S'agissant enfin du placement, il y a lieu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 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 partiellement, d'être réadaptée (MEYER-BLASER, op. cit. p. 85; VSI 2002 consid. 2 p. 112 [I 370/98]). Il appartiendra à l'assurée de solliciter, le cas échéant, une telle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