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A/738/2023 vom 13. Dezember 2024</w:t>
      </w:r>
    </w:p>
    <w:p>
      <w:r>
        <w:t>GE Cour de justice, 2024-12-13, FR</w:t>
      </w:r>
    </w:p>
    <w:p>
      <w:r>
        <w:rPr>
          <w:b/>
        </w:rPr>
        <w:t xml:space="preserve">Quelle: </w:t>
      </w:r>
      <w:r>
        <w:t>https://mcp.opencaselaw.ch/entscheid/ge_gerichte_A_738_2023</w:t>
      </w:r>
    </w:p>
    <w:p>
      <w:r>
        <w:t>FR: GE_GERICHTE A/738/2023 du 13 décembre 2024</w:t>
      </w:r>
    </w:p>
    <w:p>
      <w:r>
        <w:t>IT: GE_GERICHTE A/738/2023 del 13 dicembre 2024</w:t>
      </w:r>
    </w:p>
    <w:p>
      <w:pPr>
        <w:pStyle w:val="Heading2"/>
      </w:pPr>
      <w:r>
        <w:t>Erwägungen</w:t>
      </w:r>
    </w:p>
    <w:p>
      <w:r>
        <w:rPr>
          <w:b/>
        </w:rPr>
        <w:t>E. 2</w:t>
      </w:r>
    </w:p>
    <w:p>
      <w:r>
        <w:t>L’objet du litige porte sur le droit du recourant aux indemnités de chômage à compter du 1 er septembre 2022, plus particulièrement sur la question de savoir s’il a été domicilié en Suisse entre septembre 2022 et le 23 janvier 2023, date de la décision litigieuse.</w:t>
      </w:r>
    </w:p>
    <w:p>
      <w:r>
        <w:rPr>
          <w:b/>
        </w:rPr>
        <w:t>E. 3</w:t>
      </w:r>
    </w:p>
    <w:p>
      <w:r>
        <w:t>En vertu de l’art. 8 al. 1 LACI, l’assuré a droit à l’indemnité de chômage s’il remplit un certain nombre de conditions cumulatives (ATF 124 V 218 consid. 2), au nombre desquelles figure le fait d’être domicilié en Suisse (art. 8 al. 1 let. c).</w:t>
      </w:r>
    </w:p>
    <w:p>
      <w:r>
        <w:rPr>
          <w:b/>
        </w:rPr>
        <w:t>E. 4.1</w:t>
      </w:r>
    </w:p>
    <w:p>
      <w:r>
        <w:t>Selon la jurisprudence, la notion de domicile au sens de la LACI ne correspond pas à celle du droit civil (art. 23ss du Code civil suisse du 10 décembre 1907 ; CC – RS 210), mais bien plutôt à celle de la résidence habituelle ( cf . bulletin du SECO sur l’indemnité de chômage [IC], état juillet 2013, B 136 ; voir aussi les textes allemands et italien de l’art. 8 al. 1 let. c LACI : « in der Schweiz wohnt », « risiede in Svizzera » ; arrêt du Tribunal fédéral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er LPGA ne trouve pas application en matière d’assurance-chômage et ce, même si la LACI ne contient de dérogation expresse qu’à l’égard des étrangers habitant en Suisse ( cf . ATAS/726/2008 du 19 juin 2008, consid. 4). En particulier, le principe prévu par l’art. 24 al. 1 er CC, selon lequel toute personne conserve son domicile aussi longtemps qu’elle ne s’en est pas créé un nouveau, n’entre pas en ligne de compte pour l’application de l’art. 8 al. 1 let. c LACI (arrêt du Tribunal fédéral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 4 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 Soziale Sicherheit , vol. XIV, 3 ème éd. 2016 p. 2319, n. 180).</w:t>
      </w:r>
    </w:p>
    <w:p>
      <w:r>
        <w:rPr>
          <w:b/>
        </w:rPr>
        <w:t>E. 4.2</w:t>
      </w:r>
    </w:p>
    <w:p>
      <w:r>
        <w:t>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 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 Ainsi, en cas de séjour, tantôt dans un endroit, tantôt dans un autre, la résidence est là où les liens sont les plus forts (ATF 87 II 7 consid. 2 ; arrêt du Tribunal fédéral C 153/03 du 22 septembre 2003). En revanche, la présence de seules relations professionnelles, même intenses, avec la Suisse ne suffit pas (arrêt du tribunal fédéral 8C_326/2020 du 4 août 2020 consid. 3). Le fait d’avoir une adresse officielle en Suisse et d’y payer ses impôts n’est pas déterminant si d’autres indices permettent de conclure à l’existence d’une résidence habituelle à l’étranger ( cf . arrêt du Tribunal fédéral C 149/01 du 13 mars 2002, consid. 3). Ainsi, le Tribunal fédéral a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Dans un arrêt 8C_186/2017 du 1 er septembre 2017, qui concernait un demandeur d’emploi partageant un appartement de 2.5 pièces avec son frère à Lugano (TI), possédant un véhicule sans l’avoir dédouané, et retournant en Italie (où vivaient ses parents) durant les week-ends, le Tribunal fédéral a considéré que la proximité du domicile avec la frontière, en particulier dans la région du Sottoceneri, exigeait une plus grande rigueur dans l’application de l’art. 8 al. 1 let. c LACI, afin de s’assurer que l’assuré avait effectivement le centre de ses relations personnelles en Suisse (arrêt du Tribunal fédéral 8C_186/2017 du 1 er septembre 2017 consid. 5.3 ; cf . aussi l’arrêt du Tribunal fédéral 8C_440/2022 du 23 février 2023 consid. 4.1).</w:t>
      </w:r>
    </w:p>
    <w:p>
      <w:r>
        <w:rPr>
          <w:b/>
        </w:rPr>
        <w:t>E. 5.1</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5.2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 125 V 195 consid. 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 ATF 130 III 324 consid. 3.2 et 3.3). Aussi n’existe-t-il pas, en droit des assurances sociales, un principe selon lequel l’administration ou le juge devrait statuer, dans le doute, en faveur de l’assuré (ATF 126 V 322 consid. 5a).</w:t>
      </w:r>
    </w:p>
    <w:p>
      <w:r>
        <w:rPr>
          <w:b/>
        </w:rPr>
        <w:t>E. 6.1</w:t>
      </w:r>
    </w:p>
    <w:p>
      <w:r>
        <w:t>En l’espèce, le recourant allègue en substance être domicilié à Genève depuis juillet 2021 et l’avoir donc déjà été à l’ouverture du délai-cadre d’indemnisation le 1 er septembre 2022. Le recourant considère avoir démontré qu’il résidait à Genève avec l’intention de s’y établir et y avoir son centre de vie. En témoigneraient, selon lui, la location d’une chambre à Genève, d’abord à la rue E______, puis à la route D______, ses demandes de logement dans le canton pour lui et sa famille, son inscription à une formation complémentaire dans le canton, l’inscription d’un de ses fils à des cours d’arabe à Genève, le fait d’avoir passé « l’essentiel de son temps » dans des cafés, restaurants, boulangeries du canton et d’y avoir procédé à de nombreux achats, d’avoir acheté un véhicule immatriculé à Genève et bénéficiant d’un macaron de stationnement, d’avoir passé l’essentiel de ses appels téléphoniques en Suisse et d’être affilié à l’assurance obligatoire des soins. L’intimé considère pour sa part que le recourant n’a à aucun moment été domicilié en Suisse, de son inscription au chômage à la décision litigieuse.</w:t>
      </w:r>
    </w:p>
    <w:p>
      <w:r>
        <w:rPr>
          <w:b/>
        </w:rPr>
        <w:t>E. 6.2</w:t>
      </w:r>
    </w:p>
    <w:p>
      <w:r>
        <w:t>à titre liminaire, la Cour de céans constate que, contrairement à ce que le recourant allègue dans son opposition à la décision (initiale) du 17 octobre 2022, il n’est pas « venu d’Espagne [s]’établir dans le canton de Genève le 2 juillet 2021 ». Il ressort au contraire du contrat de bail produit (pièce 44 intimé) et d’un courriel du 11 octobre 2022 de la Mairie de F______ à l’OCPM (pièce 25 intimé) que l’intéressé et son épouse sont locataires depuis mai 2017 d’un T3 ( cf. recours p. 8) de 79 m2 dans cette commune, située non loin du C______ et de la frontière suisse. Au surplus, il ne s’agit pas d’un « deux pièces vétuste » dans lequel « aucune vie familiale ou sociale [ne serait] possible » ( cf . opposition du 11 novembre 2022, p. 2), mais d’un appartement équivalent à un quatre pièces genevois. On ajoutera que, le 11 octobre 2022, date du courriel émanant de la Mairie de F______, le recourant résidait toujours à la même adresse (G______), où une boîte aux lettres portait son nom et où habitent toujours sa femme et leurs trois enfants, lui-même se contentant de les y rejoindre « certains week-ends » et d’y passer alors la nuit, pour remplir ses devoirs parentaux ( cf . courriel du recourant du 12 janvier 2023 à l’OCE). On constate par ailleurs à la lecture des informations du registre informatisé de l’OCPM que le recourant a travaillé à Genève depuis le 2 avril 2018, d’abord au bénéfice d’un livret G pour travailleurs frontaliers. Le permis de séjour (livret B), ne lui a été délivré qu’en juillet 2021, date coïncidant avec la première location d’une chambre meublée dans le canton. C’est donc à la lumière des démarches engagées auprès de l’OCPM pour obtenir la délivrance d’un permis de séjour que s’expliquent, entre autres, la fin de son assujettissement à l’assurance-maladie en France (pièce 16 recourant) et le début de son affiliation à l’assurance obligatoire des soins en Suisse (sa femme et leurs trois enfants étant restés assurés en France ; pièce 44 intimé), l’immatriculation à Genève d’un véhicule acheté en mai 2022 et la délivrance d’un macaron de stationnement ( cf . pièce 7 recourant). Le recourant a déclaré à l’intimé ne pas être divorcé et garder l’espoir de trouver un logement en Suisse pour y vivre avec sa famille ( cf . pièce 24 intimé). Cela étant, ni la première chambre qu’il a louée, ni la seconde ne permettaient d’accueillir sa famille, dont il est resté très proche. Dès lors, l’établissement de son épouse et de leurs enfants à F______ joue un rôle important pour localiser le centre des intérêts personnels de l’assuré ( cf . arrêt du Tribunal fédéral 8C_777/2010 du 20 juin 2011 consid. 3.3 et le renvoi à l’arrêt du Tribunal fédéral 4C.4/2005 du 16 juin 2005 consid. 4.1). Il est vrai que certains éléments (permis de séjour, assujettissement à l’assurance obligatoire des soins en Suisse, immatriculation d’une voiture dans le canton) constituent des indices en faveur d’un domicile en Suisse. Cependant, d’autres laissent planer un doute à ce sujet ou n’ont pas le poids que le recourant leur attribue : alors que ce dernier a déclaré résider « en permanence dans [son] logement à Meyrin », à tout le moins la semaine ( cf . pièce 24 intimé), force est de constater que l’enquêteur de l’OCPM ne l’y a trouvé ni le mardi 11 octobre 2022 à 12h00, ni le mercredi 12 octobre 2022 à 7h00. Certes, le recourant a tenté de justifier son absence par le fait qu’il suivait des cours à l’École I______, au Petit-Lancy, conformément à l’horaire des cours versé au dossier ( cf . pièces 29 intimé et 20 recourant). On relève néanmoins que, contrairement à ce que l’intéressé affirmait dans son courrier d’opposition, l’atelier du mercredi ne commençait pas à 7h30, mais à 8h05, selon l’horaire précité. Sachant en outre que l’intéressé est motorisé et que tant le domicile allégué que l’école – guère éloignée et aisément accessible depuis Meyrin – sont desservis par les transports publics, les motifs invoqués par le recourant pour expliquer son absence lors des deux visites non annoncées de l’enquêteur apparaissent peu convaincants, dès lors que cela impliquerait un temps de parcours d’au moins 1h30 le mardi (pour le cours de 13h30) et d’au moins 1h05 le mercredi, pour l’atelier commençant à 8h05. À l’examen d’autres pièces, il est d’ailleurs troublant de constater que le jour de la première visite de l’enquêteur, le recourant se trouvait apparemment à l’agence du Crédit Agricole de Saint-Genis Pouilly pour y effectuer, à 16h22 précises, un versement de EUR 300.- sur son compte, et que le lundi 10 octobre 2022, la carte bancaire liée à ce compte a servi à régler des achats dans des commerces situés en France (« Le Pharo », à Péron, et Intermarché, à Saint-Genis Pouilly ; cf . le relevé de compte du 3 novembre 2022 du Crédit Agricole, envoyé au recourant à son adresse en France ; pièce 44 intimé). Dans la mesure où de tels éléments, associés au volume important de communications téléphoniques en itinérance ( cf . pièce 19 recourant) livrent des indices sur une présence du recourant en France qui serait plus importante que celle prétendument limitée à « certains week-ends » ( cf . pièce 44 intimé), les explications tardives du recourant – données au stade de la réplique – sur le réseau de téléphonie mobile français qui interférerait avec le réseau suisse sur sol suisse ne convainquent pas non plus. Cela étant, on ne saurait nier, sur la base des dires de son voisin de chambre et de sa logeuse, Mme L______, que le recourant a été vu à l’ancien hôtel où il loue une chambre. Il ressort en outre du rapport de contrôle de l’Hospice général, daté du 24 mars 2023, que le recourant occupe effectivement cette chambre et que celle-ci est équipée d’un frigo et d’un four à micro-ondes ( cf . pièce 4 du bordereau du 24 mai 2023). Bien que ce rapport soit postérieur à la décision litigieuse et se réfère à une période où le recourant venait de reprendre, le 6 mars 2023, une activité lucrative au C______ via un nouvel employeur (M______), il ressort de l’audition de Mme L______ que l’intéressé les a rachetés à d’anciens locataires et qu’il s’agit donc d’acquisitions plus anciennes. En toute hypothèse, ces équipements, pour le moins sommaires, ne remplacent pas une cuisine, dont la chambre est dépourvue. Décrite comme étant une « solution provisoire » par Mme L______, cette chambre ne comporte pas non plus de WC, ceux-ci étant situés sur le palier. Aussi ne fait-il guère de doute que ce lieu n’est qu’un simple pied-à-terre, dont le but principal a été décrit le 13 octobre 2022 par le recourant lui-même en lien avec son ancienne activité pour B______ : disposer d’un lieu à trois minutes de son lieu de travail, notamment durant le service de piquet de nuit (« de 17h00 à 8h00 du matin »), et éviter d’éventuels problèmes au passage de la frontière franco-suisse, du fait des restrictions qui étaient en vigueur pendant la période du COVID ( cf . pièce 24 intimé). Au regard de la jurisprudence citée ( cf . ci-dessus : consid. 4.2), cela ne saurait toutefois suffire pour faire du lieu de situation de cette chambre le centre des relations personnelles de l’intéressé, eu égard en particulier à la jouissance, en parallèle, d’un appartement de 79 m 2 , situé également non loin du C______, mais de l’autre côté de la frontière, où habitent son épouse et leurs enfants. Le recourant fait encore valoir, relevés bancaires et témoignages à l’appui, qu’il a ses habitudes dans les commerces et cafés genevois. Cet élément n’a toutefois pas le poids que le recourant lui attribue, sachant qu’il est commun à bon nombre de travailleurs frontaliers. Quant à la participation du recourant et de sa famille à des activités organisées par la Fondation H______ de Genève, son importance pour localiser le centre des relations personnelles doit être relativisée. En effet, au vu de l’arrêt du Tribunal fédéral 8C_186/2017 précité – dont le considérant 5.3 sur la région du Sottoceneri, peut être repris pour l’agglomération transfrontalière du Grand Genève –, la proximité du domicile avec la frontière exige une plus grande rigueur dans l’application de l’art. 8 al. 1 let. c LACI pour s’assurer qu’un assuré a effectivement le centre de ses relations personnelles en Suisse. En conséquence, on ne saurait en l’espèce accorder qu’une importance très mesurée au fait que le recourant se rende ponctuellement à Genève avec sa famille pour prendre part aux activités qu’il décrit (cours d’arabe, fréquentation du J______ par ses enfants, etc. ; cf . pièce 29 intimé), sachant qu’elles ne sont selon toute vraisemblance pas proposées à F______ (1______ habitants selon Wikipedia), vu leurs spécificités. Cela étant, elles ne sauraient définir de manière décisive le lieu où se déroule la vie de famille, celui-ci étant un appartement situé dans cette localité. On soulignera à cet égard que les trois enfants sont scolarisés en France et que l’épouse du recourant travaille dans ce pays. Qui plus est, le témoin O_____, entendu le 22 février 2024, a précisé que cela faisait seulement deux à quatre mois que le recourant fréquentait son restaurant. Cet élément, ainsi que la prise à bail, par le recourant, d’un appartement à Meyrin (pour lui-même, son épouse et son fils cadet) à partir du 1 er juillet 2023, ne sont donc pas pertinents pour apprécier les faits tels qu’ils se présentaient jusqu’au moment de la décision litigieuse. Il résulte de ce qui précède que le recourant n’était pas domicilié en Suisse entre le moment de son inscription au chômage et la date de la décision litigieuse, si bien qu’il ne saurait prétendre des indemnités de chômage.</w:t>
      </w:r>
    </w:p>
    <w:p>
      <w:r>
        <w:rPr>
          <w:b/>
        </w:rPr>
        <w:t>E. 7</w:t>
      </w:r>
    </w:p>
    <w:p>
      <w:r>
        <w:t>Il convient encore d’examiner si le recourant, ressortissant espagnol ayant travaillé en Suisse, peut déduire un droit aux prestations des règles de coordination européenne en matière d’assurance-chômage.</w:t>
      </w:r>
    </w:p>
    <w:p>
      <w:r>
        <w:rPr>
          <w:b/>
        </w:rPr>
        <w:t>E. 7.1</w:t>
      </w:r>
    </w:p>
    <w:p>
      <w:r>
        <w:t>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règlement n° 1408/71).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w:t>
      </w:r>
    </w:p>
    <w:p>
      <w:r>
        <w:rPr>
          <w:b/>
        </w:rPr>
        <w:t>E. 7.2</w:t>
      </w:r>
    </w:p>
    <w:p>
      <w:r>
        <w:t>Selon l’art. 1 let. f du règlement n o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 o 883/2004 est applicable ne sont soumises qu’à la législation d’un seul État membre (art. 11 par. 1 du règlement n o 883/2004). Selon l’art. 11 par. 3 let. c du règlement n o 883/2004, la personne qui bénéficie de prestations de chômage conformément aux dispositions de l’art. 65, en vertu de la législation de l’État membre de résidence, est soumise à la législation de cet État membre. En vertu de l’art. 65 du règlement n 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 ère et 2 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 ère et 2 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w:t>
      </w:r>
    </w:p>
    <w:p>
      <w:r>
        <w:rPr>
          <w:b/>
        </w:rPr>
        <w:t>E. 7.3</w:t>
      </w:r>
    </w:p>
    <w:p>
      <w:r>
        <w:t>Dans un arrêt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ATAS/909/2013 ).</w:t>
      </w:r>
    </w:p>
    <w:p>
      <w:r>
        <w:rPr>
          <w:b/>
        </w:rPr>
        <w:t>E. 7.4</w:t>
      </w:r>
    </w:p>
    <w:p>
      <w:r>
        <w:t>En application de la jurisprudence précitée, quand bien même le recourant aurait conservé avec la Suisse des liens personnels et professionnels tels qu’il disposerait dans cet État de meilleures chances de réinsertion professionnelle, c’est son pays de résidence, la France, qui doit lui verser des indemnités de chômage.</w:t>
      </w:r>
    </w:p>
    <w:p>
      <w:r>
        <w:rPr>
          <w:b/>
        </w:rPr>
        <w:t>E. 8</w:t>
      </w:r>
    </w:p>
    <w:p>
      <w:r>
        <w:t>Partant, le recours est rejeté. Pour le surplus, la procédure est gratuite (art. 61 let. f 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