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A/737/2011 vom 14. April 2011</w:t>
      </w:r>
    </w:p>
    <w:p>
      <w:r>
        <w:t>GE Cour de justice, 2011-04-14, FR</w:t>
      </w:r>
    </w:p>
    <w:p>
      <w:r>
        <w:rPr>
          <w:b/>
        </w:rPr>
        <w:t xml:space="preserve">Quelle: </w:t>
      </w:r>
      <w:r>
        <w:t>https://mcp.opencaselaw.ch/entscheid/ge_gerichte_A_737_2011</w:t>
      </w:r>
    </w:p>
    <w:p>
      <w:r>
        <w:t>FR: GE_GERICHTE A/737/2011 du 14 avril 2011</w:t>
      </w:r>
    </w:p>
    <w:p>
      <w:r>
        <w:t>IT: GE_GERICHTE A/737/2011 del 14 aprile 2011</w:t>
      </w:r>
    </w:p>
    <w:p>
      <w:pPr>
        <w:pStyle w:val="Heading2"/>
      </w:pPr>
      <w:r>
        <w:t>Regeste</w:t>
      </w:r>
    </w:p>
    <w:p>
      <w:r>
        <w:t>Retard injustifié. Réquisition de continuer la poursuite. Sans objet. | Le procès-verbal de saisie a été communiqué à la plaignante. | LP.17.3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xxxx51 C et 10 xxxx28 L. Au fond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