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A/736/2015 vom 19. November 2015</w:t>
      </w:r>
    </w:p>
    <w:p>
      <w:r>
        <w:t>GE Cour de justice, 2015-11-19, FR</w:t>
      </w:r>
    </w:p>
    <w:p>
      <w:r>
        <w:rPr>
          <w:b/>
        </w:rPr>
        <w:t xml:space="preserve">Quelle: </w:t>
      </w:r>
      <w:r>
        <w:t>https://mcp.opencaselaw.ch/entscheid/ge_gerichte_A_736_2015</w:t>
      </w:r>
    </w:p>
    <w:p>
      <w:r>
        <w:t>FR: GE_GERICHTE A/736/2015 du 19 novembre 2015</w:t>
      </w:r>
    </w:p>
    <w:p>
      <w:r>
        <w:t>IT: GE_GERICHTE A/736/2015 del 19 novembre 2015</w:t>
      </w:r>
    </w:p>
    <w:p>
      <w:pPr>
        <w:pStyle w:val="Heading2"/>
      </w:pPr>
      <w:r>
        <w:t>Erwägungen</w:t>
      </w:r>
    </w:p>
    <w:p>
      <w:r>
        <w:rPr>
          <w:b/>
        </w:rPr>
        <w:t>E. 3</w:t>
      </w:r>
    </w:p>
    <w:p>
      <w:r>
        <w:t>ème Chambre En la cause Monsieur A______, domicilié à GENÈVE, comparant avec élection de domicile en l'étude de Maître CORDONIER Marlyse recourant contre OFFICE DE L'ASSURANCE-INVALIDITÉ DU CANTON DE GENÈVE, sis rue des Gares 12, GENÈVE intimé EN FAIT 1.        En juin 1994, Monsieur A______ (ci-après : l’assuré), après avoir travaillé de décembre 1986 à septembre 1989 comme employé de banque et une période de chômage, a déposé une demande de prestations auprès de l’Office cantonal de l’assurance-invalidité (ci-après : OAI) en invoquant un état dépressif chronique.![endif]&gt;![if&gt; Par décision du 3 février 1995, il s’est vu accorder une rente entière à compter du 1er décembre 1994. Cette décision a été rendue à l’issue d’une instruction ayant permis de recueillir notamment les éléments suivants : -          un rapport rédigé le 14 juillet 1994 par le docteur B______, spécialiste FMH en psychiatrie et psychothérapie, attestant d’une totale incapacité de travail depuis 1989, précisant qu’il lui était impossible d’indiquer depuis quand l’atteinte à la santé était présente exactement (adolescence ?) et retenant le diagnostic d’état borderline et évoquant une « alcoolisation secondaire » ; ![endif]&gt;![if&gt; -          un rapport du docteur C______, spécialiste en médecine générale, daté du 22 septembre 1994 et concluant à une totale incapacité de travail depuis décembre 1991 pour cause de dépression avec éthylisme chronique.![endif]&gt;![if&gt; 2.        Une révision a été initiée en février 1998. ![endif]&gt;![if&gt; Dans un rapport du 22 avril 1998, le docteur D______, spécialiste FMH en psychiatrie et psychothérapie, a conclu à une totale incapacité de travail depuis 1992. Il a retenu les diagnostics de troubles des conduites type mal socialisé durant la puberté (F91.1), de troubles du comportement liés à l’utilisation d’alcool (F10.25), à un trouble dépressif récurrent épisode actuel moyen (F33.10) et à une personnalité dyssociale (F60.2). Il a précisé que les atteintes étaient présentes depuis 1989 et que les habitudes éthyliques remontaient à l’âge de quinze ou seize ans. A l’issue de la procédure de révision a été rendue, le 2 août 2002, une décision laissant le droit de l’assuré inchangé. 3.        Une seconde procédure en révision s’est ouverte en juin 2005, qui a permis de recueillir les documents suivants :![endif]&gt;![if&gt; -          un bref rapport du docteur E______, spécialiste FMH en médecine interne, du 2 décembre 2012, concluant à un état stationnaire et à un état borderline en phase de décompensation ;![endif]&gt;![if&gt; -          un rapport complémentaire du même médecin du 21 juin 2007 concluant à un syndrome anxio-dépressif moyen avec des phobies multiples et précisant que les états anxieux majeurs nécessitaient parfois une prise d’alcool ;![endif]&gt;![if&gt; -          un avis du Service médical régional de l’OAI (SMR) du 19 juillet 2007 concluant que rien ne laissait espérer une modification de la capacité de travail depuis la dernière décision AI ;![endif]&gt;![if&gt; Le 20 juillet 2007, l’OAI a informé l’assuré qu’il considérait que son état n’avait pas changé au point d’influencer son droit à la rente. 4.        Une nouvelle procédure en révision s’est ouverte en avril 2010.![endif]&gt;![if&gt; 5.        Le 30 avril 2010, le Dr E______ a conclu à un état stationnaire et a émis un mauvais pronostic.![endif]&gt;![if&gt; 6.        L’assuré a alors été adressé pour examen à la doctoresse F______, spécialiste FMH en psychiatre et psychothérapie, qui a rendu son rapport en date du 2 novembre 2010.![endif]&gt;![if&gt; L’experte a indiqué s’être basé sur un examen de l’assuré et une lecture attentive du dossier mis à sa disposition. Dans l’anamnèse, elle a notamment relevé : « dès l’âge de douze ans, l’expertisé a eu des relations bisexuelles consenties. Monsieur n’aurait jamais fait de prostitution ». L’experte a également souligné que, dès l’adolescence, des problèmes d’abus d’alcool étaient apparus. A la même époque, l’assuré avait présenté un trouble de la personnalité émotionnellement labile type borderline. A l’âge adulte, elle a noté une dépendance à l’alcool, des troubles de la personnalité et une dysthymie. Selon elle, depuis 1999, la dépendance à l’alcool était continue mais il y avait eu une amélioration du trouble de la personnalité. Au status clinique, l’experte a noté un appauvrissement affectif, des troubles thymiques (déprime), des ruminations, des troubles de la concentration, un seuil anxiogène en partie abaissé, des traits évitants, des capacités de mentalisation pauvres, un Moi faible, avec diminution de la tolérance à l’angoisse du contrôle pulsionnel et de la capacité de sublimation, une énergie vitale diminuée, sans perte d’initiative et des éléments florides de la ligne dépressive, tout en précisant qu’à son avis, le manque d’énergie et la difficulté à soutenir l’attention étaient probablement secondaires à la prise d’alcool. L’experte n’a en revanche constaté ni obsession, ni conduite compulsive, ni phobies ou autres éléments compatibles avec un état de stress post-traumatique, un trouble affectif bipolaire ou un trouble hyperactif. La Dresse F______ a finalement retenu le diagnostic de personnalité émotionnellement labile de type borderline, mal compensée et présente depuis l’adolescence, décompensée de 1992 à 1999. Elle a également mentionné un syndrome de dépendance à l’alcool, utilisation continue, depuis l’adolescence, une dysthymie, présente depuis l’âge adulte, un syndrome de dépendance aux sédatifs et hypnotiques et un syndrome de dépendance au tabac, dont elle a précisé qu’ils étaient sans répercussion sur la capacité de travail. Dans ses considérations, l’experte a relevé que le parcours professionnel de l’intéressé avait été chaotique - avec une alternance de périodes de chômage et de courts emplois -, tout comme sa vie affective, avec des relations homo- et hétérosexuelles. Elle a admis que la personnalité émotionnellement borderline s’était décompensée après le licenciement de l’assuré, mais seulement jusqu’en 1999. Selon elle, depuis 2000, la personnalité émotionnellement labile de type borderline n’avait plus été que mal compensée, entraînant une certaine interprétativité et une diminution du seuil à la frustration. Selon l’experte, l’assuré souffre depuis qu’il est jeune adulte d’un abaissement de l’humeur, de troubles du sommeil et de ruminations correspondant à une dysthymie selon la Classification internationale des troubles mentaux et des troubles du comportement (CIM-10). Cette atteinte n’est pas incapacitante et n’entraîne pas de limitations. Globalement, la situation psychique de l’assuré se serait améliorée depuis l’octroi de la rente, en particulier depuis 2002 (mariage). Quant à la dépendance chronique à l’alcool, elle n’entraîne selon ce médecin aucun trouble mental invalidant ou maladie psychique invalidante. Si la personnalité émotionnellement labile de type borderline mal compensée entraîne certes des limitations (une diminution du seuil anxiogène, une certaine interprétativité, des conflits relationnels et une réduction du seuil à la frustration), celles-ci n’interfèrent qu’à hauteur de 25% avec l’exercice d’une activité. Celle exercée précédemment serait ainsi exigible à un taux de 75%. Selon la Dresse F______, l’incapacité a été de 100% de 1992 à 1999 (personnalité décompensée) mais dès 2000, elle a diminué progressivement pour atteindre 25% dès 2002 (mariage, amélioration de la thymie). 7.        Le dossier de l’assuré a alors été soumis pour avis au SMR, qui s’est exprimé le 26 novembre 2010. ![endif]&gt;![if&gt; En substance, le SMR a constaté qu’en dehors de la personnalité, les atteintes n’étaient pas incapacitantes en elles-mêmes. La consommation d’alcool devait être considérée comme primaire. Seule la personnalité entraînait des limitations. 8.        Il ressort d’une note de travail d’un collaborateur de l’OAI que l’assuré, approché pour une réadaptation, s’est révélé « psychiquement complètement épuisé ». Il a été jugé que son état psychique était « vraiment mal compensé, d’où un risque élevé d’actes auto- ou hétéro- dommageables », à tel point qu’il a été décidé de contacter le Dr E______.![endif]&gt;![if&gt; 9.        Reçu en entretien le 24 avril 2012 par le Service de réadaptation professionnelle de l’AI, l’assuré a évoqué divers problèmes physiques : des dorsalgies (des douleurs sciatiques chroniques parfois aiguës), des calculs rénaux, de l’asthme et un syndrome de Ménière. Sur le plan psychique, l’assuré a indiqué ne pas avoir constaté de changement.![endif]&gt;![if&gt; 10.    Dans un rapport du 3 juillet 2013, le Dr E______ a fait état d’un état stationnaire.![endif]&gt;![if&gt; 11.    Dans un bref rapport du 9 juillet 2013, le docteur G______, spécialiste FMH en médecine interne, a fait de même.![endif]&gt;![if&gt; 12.    Dans un courrier du 3 septembre 2014, le Dr E______ a fait mention d’un état dépressivo-anxieux avec troubles somatoformes nécessitant la prise de produits « inhibant la mémoire traumatique ».![endif]&gt;![if&gt; 13.    Après plusieurs entretiens avec le Service de réadaptation professionnelle et l’échec de la mise en place d’une mesure d’observation, ce service est parvenu à la conclusion que des mesures d’ordre professionnel n’étaient pas opportunes tant que l’assuré restait pris dans de multiples problématiques, du ressort ou non de l’assurance-invalidité.![endif]&gt;![if&gt; 14.    Par décision du 29 janvier 2015, l’OAI a réduit la rente entière allouée jusqu’alors à l’assuré à une demi-rente, basée sur un degré de 54 %. ![endif]&gt;![if&gt; Du rapport d’expertise du 21 juillet 2010, l’OAI a en effet tiré la conclusion que l’état de santé global de l’assuré s’était amélioré progressivement depuis 2000, mais surtout depuis 2002, à tel point qu’il aurait pu reprendre une activité à raison de six heures par jour dans son domaine de compétence. Au vu du manque d’implication de l’assuré dans les mesures qui lui avaient été proposées, des mesures professionnelles n’étaient pas indiquées. La comparaison du revenu qu’aurait réalisé l’assuré sans invalidité, soit CHF 80'895.- (selon l’Enquête suisse sur la structure des salaires [ESS] 2010, TA7, secteur 22, niveau 3, compte tenu du certificat fédéral de capacité d’employé de commerce de l’assuré et de sa courte expérience professionnelle), avec celui qu’il aurait pu réaliser la même année malgré l’atteinte à sa santé, soit CHF 36'699.- (ESS 2010, TA1, niveau 4, avec une réduction supplémentaire de 20% pour tenir compte du taux d’occupation, mais aussi des limitations fonctionnelles qui, bien que déjà prises en compte, étaient importantes et limitaient l’accès aux postes), l’a conduit à un degré d’invalidité de 54%, justifiant une réduction de prestations, dont l’OAI a précisé qu’elle serait effective dès le premier jour du deuxième mois suivant la notification de sa décision. 15.    Par écriture du 2 mars 2015, l’assuré a interjeté recours auprès de la Cour de céans en demandant à ce que soit entendu le Dr E______, à ce que soit mise sur pied une expertise judiciaire et, quant au fond, à la suppression de la réduction de sa rente.![endif]&gt;![if&gt; En substance, le recourant reproche à l’expertise de la Dresse F______ d’être incomplète, de ne retenir qu’une dysthymie et d’affirmer que celle-ci est présente depuis sa jeunesse. Le recourant critique également le fait que le diagnostic de dépendance ait été retenu comme étant sans répercussion sur sa capacité de travail. Il déplore l’absence d’anamnèse détaillée et soutient qu’il résulte de son dossier qu’il a développé des troubles psychiatriques à l’adolescence. Il invoque l’avis du Dr E______, selon lequel sa dépendance est bel et bien la conséquence d’une atteinte à la santé psychique. En définitive, le recourant reproche à l’expertise d’apporter peu d’informations sur le degré de gravité de son trouble de la personnalité et sur le rôle qu’a joué celui-ci dans le développement de son addiction. 16.    A l’appui de son recours, l’assuré a notamment produit les explications fournies par le Dr E______ en date du 26 février 2015. ![endif]&gt;![if&gt; Le médecin y évoque l’avis que son patient souffre d’un syndrome de stress post-traumatique (PTSD). Il allègue que les traumatismes psychiques sévères se traduisent par une atteinte physique de cerveau difficilement réversible et se réfère à cet égard à des travaux de la doctoresse H______ : en résumé, les événements traumatisants seraient enregistrés dans une structure profonde du cerveau lorsque le patient est soumis de manière répétée à une situation stressante ; l’amygdale lui imposerait un mode de protection avec pour conséquence que lorsque le patient ne peut fuir une réalité imposée, il entre en sidération dont il ne peut sortir qu’en trouvant un moyen d’inhiber la structure cérébrale qui la provoque, soit en adoptant un comportement dissocié, soit en prenant des substances qui l’apaisent. Le Dr E______ en veut pour preuve le « sous-développement des zones corticales du cerveau » de son patient. 17.    Invité à se déterminer, l’intimé, dans sa réponse du 27 avril 2015, a conclu au rejet du recours.![endif]&gt;![if&gt; S’agissant de l’instruction sur le plan somatique, l’intimé fait remarquer que, dans son rapport du 3 juillet 2013, le Dr E______ faisait mention d’un état de santé stationnaire depuis 2005, tout comme le Dr G______, dans son rapport du 9 juillet 2013. En l’absence de modification de l’état de santé du recourant, il était donc inutile d’investiguer plus avant sur ce plan. L’intimé indique avoir néanmoins contacté le Dr G______, qui a précisé n’avoir rendu qu’un seul rapport, en date du 9 juillet 2013, en se basant sur l’examen clinique de l’assuré, convoqué expressément pour ce faire. Sur le plan psychique, l’intimé considère qu’il n’y a pas lieu de s’écarter des conclusions de la Dresse F______, dont il rappelle qu’elle avait à sa disposition l’intégralité du dossier, dont les avis des Drs C______ et D______ des années 1990. Selon l’experte, la dépendance chronique à l’alcool en lien avec le trouble de la personnalité n’entraîne pas de troubles mentaux ou de maladie psychique invalidante ; l’alcoolisme est donc primaire et non invalidant. A l’appui de sa position, l’intimé invoque l’avis du docteur I______, médecin auprès du SMR, du 23 mars 2015. 18.    Par écriture du 4 juin 2015, le recourant a persisté dans ses conclusions. ![endif]&gt;![if&gt; 19.    Le Dr E______, entendu en date du 3 septembre 2015, a expliqué qu’il suit le recourant depuis 2005. ![endif]&gt;![if&gt; Selon lui, les diagnostics à retenir sont ceux de syndrome de stress post-traumatique et d’état borderline. Le témoin a souligné que le recourant a été l’objet d’un traumatisme majeur dans sa plus tendre enfance, puisqu’il a été élevé dans un milieu totalement dysfonctionnel et a été l’objet de violences de la part des adultes. Il a indiqué ne pas partager les conclusions de la Dresse F______; il lui reproche de n’avoir pas tenu compte de la violence très précoce subie par son patient - violence telle qu’il s’est régulièrement senti mis en danger de façon vitale - et d’avoir retenu que dès l’âge de 12 ans , le recourant avait entretenu des relations bisexuelles consenties avec des adultes. Il y voit la démonstration que l’experte n’a pas saisi l’importance et la gravité d’événements que l’assuré n’a pas osé évoquer, puisqu’il fait tout pour les oublier. Le témoin a fait remarquer qu’il est impossible de considérer qu’un enfant de 12 ans puisse avoir eu des relations consenties avec des adultes des deux sexes et avec l’agrément de sa mère. Il faut bien plutôt considérer qu’il a été victime de violences sexuelles de la part d’adultes et ce, durant des années, jusqu’à ce qu’il puisse y échapper grâce à une incarcération. De ce traumatisme majeur, a découlé un développement perturbé et des problèmes psychiques contre lesquels l’assuré cherche un apaisement dans l’alcool, inhibiteur des fonctions cérébrales. Le témoin a par ailleurs fait remarquer que le status clinique décrit en page 13 de l’expertise semblait tout à fait contradictoire avec l’éventualité d’une activité lucrative, quelle qu’elle soit. Il a contesté que le status décrit soit intégralement secondaire à la prise d’alcool. Le témoin a écarté le diagnostic de trouble somatoforme douloureux précédemment évoqué en expliquant que son patient ne souffre plus, désormais, de douleurs incontrôlables. Le médecin a expliqué qu’il pousse son patient à séjourner à l’étranger, car ces séjours sont pour lui un bienfait thérapeutique : ils lui permettent de se fondre dans l’anonymat et d’échapper ainsi au poids de la honte qui pèse sur ses épaules. Malgré une certaine amélioration, une capacité de travail quelle qu’elle soit lui paraît inconcevable, même dans le futur. L’intéressé est en effet incapable de se soumettre à des horaires, à des consignes ou à un chef. Quant à la consommation d’alcool, elle est toujours régulière, même si diminuée grâce à l’augmentation des benzodiazépines, qui limitent les capacités cérébrales. Le témoin a émis l’avis que l’abstinence ne permettrait pas d’amélioration de la capacité de travail. Au contraire, l’absence de sédatifs aurait pour conséquence une augmentation des troubles de la personnalité, des angoisses, du stress, des troubles du sommeil, des crises de panique et l’assuré serait alors véritablement en danger vital. Il a expliqué que l’assuré a déjà été suivi par plusieurs psychiatres par le passé mais que cela s’est toujours mal passé. Pour sa part, il reproche aux psychiatres, tel qu’ils sont encore formés actuellement, de considérer l’alcoolisme comme une maladie. Selon lui, ils ne pourraient prendre en charge le patient de manière respectueuse et de manière plus efficace qu’il ne le fait déjà. Le témoin a reconnu que les lésions cérébrales dont il subodore l’existence chez l’assuré en se basant sur les recherches récentes en matière de développement de l’enfant ne peuvent être objectivées. Questionné sur le fait que son patient ait pu malgré tout obtenir un CFC et « fonctionner normalement durant un certain temps », il l’a expliqué par le fait que la mémoire traumatique s’amplifierait à chaque « rappel » : plus on essaye de l’inhiber au moyen de substances, plus elle se manifeste avec force ; la prise de conscience réelle de l’horreur subie dans l’enfance serait ainsi intervenue plus tard, sans qu’il puisse indiquer quand précisément. Pour finir, le témoin a préconisé la mise sur pied d’une expertise judiciaire en insistant pour que l’expert désigné prenne contact avec lui. 20.    Dans ses écritures après enquêtes, l’intimé a persisté dans ses conclusions.![endif]&gt;![if&gt; Il fait remarquer qu’au moment de l’examen clinique par l’experte, aucun élément ne permettait de retenir un trouble de stress post-traumatique. Quant aux lésions cérébrales supposées du recourant évoquée par son médecin traitant, il considère que ce ne sont que des hypothèses personnelles, sans fondement scientifique ni confirmation possible par l’imagerie. 21.    Par écriture du 8 octobre 2015, le recourant a également persisté dans ses conclusions.![endif]&gt;![if&gt; Il reprend en substance les griefs déjà soulevés à l’encontre de l’expertise et souligne qu’en matière de dépendance, il est nécessaire de procéder à une appréciation globale de la situation, ce qui implique de tenir compte d’une éventuelle interaction entre dépendance et comorbidité psychiatrique.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 ss LPGA.![endif]&gt;![if&gt; 5.        Est litigieuse en l'espèce la réduction de la rente d'invalidité versée au recourant. Singulièrement, il convient d'examiner si les conditions d'une révision du droit à la rente sont présentement remplies.![endif]&gt;![if&gt; 6.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il ressort de la décision initiale que la rente a été octroyée à l’origine pour des raisons exclusivement psychiques, à savoir un état borderline. Par la suite, à deux reprises, la rente a été reconduite au motif que l’état de santé de l’assuré était demeuré inchangé. Les diagnostics ont cependant légèrement varié dans le temps (personnalité dyssociale et trouble dépressif récurrent moyen en 1998, état borderline en phase de décompensation et syndrome anxio-dépressif moyen en 2007). ![endif]&gt;![if&gt; L’intimé s’est basé sur l’expertise de la Dresse F______ pour conclure à une amélioration ayant entraîné une augmentation de la capacité de travail et de gain de l’intéressé. Il est vrai que ce médecin conclut à une amélioration. Il est néanmoins troublant de constater que, selon la Dresse F______, ladite amélioration remonterait à 2002, soit à un moment antérieur à la seconde révision de rente (qui s’est terminée le 20 juillet 2007, par la conclusion que l’état de l’assuré était inchangé). Force est de constater qu’au moment de la réduction de rente litigieuse, le tableau clinique présenté par le recourant, tel que décrit par son médecin traitant, ne diffère pas fondamentalement de celui présenté à l'époque de son octroi. Seule la Dresse F______ tire des conclusions contraires, lesquelles sont sujettes à caution. En premier lieu, c’est à juste titre que le recourant relève que l’experte a manifestement sous-estimé les traumatismes qu’il a traversés. Il apparaît particulièrement malvenu de retenir comme le fait l’experte que les relations sexuelles que l’assuré a entretenues alors qu’il n’était âgé que de douze ans et avec plusieurs adultes des deux sexes auraient pu être « consenties ». Il est vrai qu’il ne s’agit là « que » d’un élément d’anamnèse mais il est révélateur du fait que l’experte a sous-évalué la situation. En second lieu, l’experte conclut que la personnalité borderline du recourant se serait lentement améliorée depuis 2000, sans jamais justifier cette appréciation, qui va pourtant à l’encontre des autres documents médicaux versés au dossier qui, tous, font mention d’un état stationnaire. Les seuls éléments évoqués par l’experte à l’appui de sa thèse sont le fait que le recourant s’est marié en 2002 - élément factuel et non médical - et une amélioration de la thymie qui remonterait à 2000 et que rien ne vient corroborer au dossier. En troisième lieu, comme déjà indiqué, l’experte fait remonter l’amélioration à une date antérieure à la dernière révision, sans fournir d’explication sur les divergences avec les médecins traitants. Pourtant, les conclusions des médecins et psychiatres traitants sont claires : l’état du recourant est demeuré stationnaire. Enfin, on relèvera que la division de réadaptation de l’intimé a constaté elle-même que l’assuré se trouvait dans un état psychique tel qu’on pouvait craindre des actes auto- ou hétéro- agressifs de sa part. Certes, il ne s’agit pas là de constatations médicales mais bien d’un indice supplémentaire, s’ajoutant à ceux déjà mentionnés, donnant à penser que l’experte a bel et bien sous-évalué la situation. Dans ces circonstances, il convient de conclure qu’il n'existe pas de modification notable de l'état de santé de l'assuré au sens de l'art. 17 LPGA et de la jurisprudence y relative citée ci-avant autorisant une révision du droit à la rente : seule l'appréciation médicale diffère entre le moment de l'octroi de la rente, des révisions qui ont suivi et celui de la révision litigieuse.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 10.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![endif]&gt;![if&gt;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11.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5.3).![endif]&gt;![if&gt; 12.    En l’espèce, pour octroyer la rente, l'OAI s'est basé sur les rapports des médecin et psychiatre traitants du recourant. Lors des deux révisions subséquentes, il s’est également basé sur des documents médicaux dont il ressortait clairement qu’aucune amélioration n’avait été constatée. Dès lors, les décisions précédentes de l’OAI, fondées sur des documents médicaux clairs, n’étaient pas manifestement erronées, ce que l’intimé ne soutient d’ailleurs pas. ![endif]&gt;![if&gt; Ainsi, en l’absence d’un motif de révision ou de reconsidération de la décision du 14 juin 2010, la rente entière d’invalidité accordée au recourant doit être maintenue. 13.    Au vu de ce qui précède, le recours sera admis et la décision 29 janvier 2015 annulée. ![endif]&gt;![if&gt; Le recourant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