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A/736/2007 vom 5. Dezember 2007</w:t>
      </w:r>
    </w:p>
    <w:p>
      <w:r>
        <w:t>GE Cour de justice, 2007-12-05, FR</w:t>
      </w:r>
    </w:p>
    <w:p>
      <w:r>
        <w:rPr>
          <w:b/>
        </w:rPr>
        <w:t xml:space="preserve">Quelle: </w:t>
      </w:r>
      <w:r>
        <w:t>https://mcp.opencaselaw.ch/entscheid/ge_gerichte_A_736_2007</w:t>
      </w:r>
    </w:p>
    <w:p>
      <w:r>
        <w:t>FR: GE_GERICHTE A/736/2007 du 5 décembre 2007</w:t>
      </w:r>
    </w:p>
    <w:p>
      <w:r>
        <w:t>IT: GE_GERICHTE A/736/2007 del 5 dicembre 2007</w:t>
      </w:r>
    </w:p>
    <w:p>
      <w:pPr>
        <w:pStyle w:val="Heading2"/>
      </w:pPr>
      <w:r>
        <w:t>Volltext</w:t>
      </w:r>
    </w:p>
    <w:p>
      <w:r>
        <w:t>Genève Cour de justice (Cour de droit public) Chambre des assurances sociales 05.12.2007 A/736/2007</w:t>
      </w:r>
    </w:p>
    <w:p>
      <w:r>
        <w:t>A/736/2007 ATAS/1403/2007 du 05.12.2007 ( AI ) , REJETE Recours TF déposé le 31.01.2008, rendu le 30.09.2008, REJETE, 9C_91/2008 En fait En droit RÉPUBLIQUE ET CANTON DE GENÈVE POUVOIR JUDICIAIRE A/736/2007 ATAS/1403/2007 ARRET DU TRIBUNAL CANTONAL DES ASSURANCES SOCIALES Chambre 4 du 5 décembre 2007 En la cause Monsieur B__________, comparant avec élection de domicile en l'étude de Maître STAMPFLI Eric recourant contre OFFICE CANTONAL DE L'ASSURANCE-INVALIDITE, sis rue de Lyon 97, GENEVE intimé EN FAIT Monsieur B__________, né en septembre 1950, exerce l'activité d'antiquaire indépendant depuis de nombreuses années. L'assuré a été victime d'une agression le 18 avril 2004, au cours de laquelle il a subi une fracture de la clavicule gauche. Il souffre depuis lors d'une capsulite rétractile de l'épaule gauche et présente en outre des dorso-lombalgies séquellaires à une maladie de Scheuermann, ainsi qu'un syndrome fémoro-patellaire du genou droit. L'assuré a déposé une demande de prestations de l'assurance-invalidité auprès de l'Office cantonal AI (ci-après OCAI) en date du 19 octobre 2004, visant à l'octroi d'une rente. Dans un rapport adressé à l'OCAI en date du 14 décembre 2004, le Dr A__________, chiropraticien, a posé les diagnostics de lombalgies chroniques, capsulite rétractile récalcitrante de l'épaule gauche suite à une fracture de la clavicule gauche lors d'une agression dans la rue le 18 avril 2004, gonalgies droites suite à une distorsion lors d'une chute, céphalées occasionnelles et séquelles de maladie de Scheuermann. L'incapacité de travail est de 100% dès le 18 avril 2004 et de 50% dès le 2 août 2004 dans son activité de commerçant indépendant. L'OCAI a mandaté le Dr C__________, spécialiste FMH en rhumatologie, médecine physique et réhabilitation, pathologies du sport, pour expertise. Dans son rapport du 3 février 2006, l'expert a retenu comme diagnostics des dorso-lombalgies chroniques en relation avec des séquelles de maladie de Scheuermann dorsales modérées, une capsulite rétractile de l'épaule gauche post-traumatique, une fracture de la clavicule gauche survenue le 18 avril 2004 bien consolidée actuellement, des gonalgies droites, une chondro-calcinose méniscale et un syndrome fémoro-patellaire droit sur une rotule haute. Dans l'appréciation du cas, l'expert a relevé que les articulations touchées pouvant occasionner une limitation de sa capacité de travail sont principalement le rachis dorso-lombaire, l'épaule gauche et dans une moindre mesure le genou droit. En ce qui concerne le dos, l'assuré souffre de dorsalgies d'effort depuis l'âge de quinze ans, en relation avec une maladie de Scheuermann. Dans l'ensemble, ce bilan ne donne pas d'explication quant à une aggravation des douleurs dorsales. Sur le plan physique, l'impotence de l'épaule gauche entraîne une limitation dans la prise ou le transport d'objets nécessitant une prise à deux mains. Les dorso-lomblagies entraînent une limitation principalement dans le port de charges modérées à lourdes et les douleurs du genou droit entraînent une limitation dans le port de charges principalement, ainsi que pour l'accroupissement ou lors de montées et descentes d'escaliers. Sur le plan psychique et mental, le patient est relativement anxieux du fait de sa situation médicale, toutefois sans signe évident de trouble typique. Les atteintes à la santé ont entraîné une incapacité de travail totale du 18 avril 2004 au 1 er août 2004, puis une incapacité de travail partielle de 50%. Dans l'activité d'antiquaire indépendant, l'expert a estimé la capacité de travail de l'assuré à 60%. Dans une activité adaptée, s'exerçant principalement en position assise, ne comprenant pas le port de charges modérées à lourdes avec utilisation du bras gauche et sans position contraignante pour le dos, la capacité de travail est d'environ 80%. L'OCAI a effectué une enquête concernant l'activité professionnelle indépendante. Dans son rapport du 14 juillet 2006, il a relevé que les données de l'entreprise n'étaient pas fiables, dès lors que l'assuré a expliqué qu'il ne pouvait plus se procurer les documents relatifs à l'exercice comptable 2001 auprès de son ancien comptable et qu'il en est de même pour les documents concernant les années 1999 et antérieures. D'autre part, d'importants problèmes familiaux se sont sensiblement répercutés sur sa capacité de gain lors de ces dernières années, de sorte que l'office a dû utiliser la méthode extraordinaire d'évaluation du taux d'invalidité. Sur cette base, l'OCAI est parvenu à la conclusion que l'assuré présentait un taux de diminution du revenu de l'activité professionnelle de 35%. Après pondération des champs d'activités, le degré d'invalidité a été fixé à 28%. Enfin, l'assuré s'oppose catégoriquement à toute mesure de réadaptation, affirmant qu'il n'abandonnera jamais son métier. Par décision du 24 janvier 2007, l'OCAI a refusé à l'assuré l'octroi d'une rente ainsi que de mesures de réadaptation professionnelles, au motif que sa capacité de travail était de 80% dans une activité adaptée et le degré d'invalidité de 28%, insuffisant pour ouvrir droit à une rente. L'assuré interjette recours en date du 26 février 2007, contestant avoir une capacité de travail résiduelle exigible de 80% dans une activité adaptée et de 60% dans l'activité habituelle. Il relève que l'activité de commissaire priseur qu'il avait exercée n'est plus possible, car d'une part, il s'agit d'un métier trop stressant et, d'autre part, il ne l'a plus exercé depuis longtemps. Il conteste également la pondération des champs d'activités: il estime que 20% consacré à l'activité de direction est inadéquat s'agissant d'une petite société. Il soutient que son degré d'invalidité est de 50% dans la profession habituelle et que la décision est arbitraire. Dans sa réponse du 21 mars 2007, l'OCAI conclut au rejet du recours. Dans sa réplique du 16 avril 2007, le recourant relève que l'OCAI n'explique pas les pourcentages retenus pour les trois champs d'activités. Il demande le renvoi du dossier à l'OCAI pour instruction complémentaire et nouvelle décision. Dans ses observations du 19 avril 2007, l'OCAI relève que le recourant n'apporte aucun élément susceptible de modifier son appréciation. Le 16 mai 2007, le recourant a communiqué au Tribunal de céans divers rapports médicaux, aux termes desquels son état de santé a des effets directs importants sur sa capacité de travail et de gain. Le Tribunal a entendu les parties en audience de comparution personnelle le 6 juin 2007. A cette occasion, le recourant a exposé qu'il travaillait dans le domaine des antiquités depuis l'âge de quinze ans, que son père était déjà dans la branche et qu'il s'était installé à titre indépendant depuis qu'il avait terminé l'école. Il n'a pas de magasin, depuis 1985, il travaille par relations. Il dispose d'une cartothèque importante de contacts. Son activité principale consiste en l'achat et la vente d'antiquités. Il travaille également avec des galeries d'art, il achète ou vend des objets provenant de successions ou de divers commerces. Avant son atteinte à la santé, il transportait lui-même les objets, mais actuellement il ne le peut plus et doit faire appel à la maison X__________. Il a admis faire des expertises, mais il s'agit selon lui d'une activité secondaire qui a lieu sur appel et qui représente au maximum 10% de ses activités totales. Il a déclaré qu'il ne lui est pas possible d'augmenter l'activité d'expertise, car il est suffisamment occupé en se déplaçant partout en Suisse et, à Genève, la concurrence est grande dans ce domaine. Il s'est déclaré d'accord avec la capacité de travail résiduelle de 50% retenue par les médecins dans son activité d'antiquaire, mais conteste avoir une capacité de 80% dans une activité adaptée. Enfin, il a critiqué l'évaluation de l'invalidité faite par l'OCAI, plus particulièrement la répartition des champs d'activités. Selon la représentante de l'OCAI, l'assuré peut diminuer de 20% ses activités d'achat et de vente afin de les reporter sur les expertises, ce que le mandataire du recourant a nié, au motif que cette hypothèse est totalement irréalisable. L'assuré a expliqué à ce propos qu'il ne pouvait plus porter d'objets lourds, qu'il était limité par le transport des tableaux, des tapisseries, des lustres, etc.. Avant son atteinte à la santé, il faisait tous les transports lui-même, avec de l'aide occasionnelle pour les objets très lourds. Depuis lors, il est obligé de recourir aux services de transporteurs. L'assuré a exposé qu'outre le problème de l'épaule, il souffre d'une tendinite dans le bras droit ainsi que de fourmillements dans le petit doigt qui l'empêchent d'écrire parfois pendant une semaine. Concernant l'activité d'expert, il a expliqué qu'à Genève, outre les antiquaires, les huissiers judiciaires, les commissaires priseurs, ainsi que les maisons de vente aux enchères et les galeries pratiquent des expertises. Sur question, il a indiqué qu'il avait exercé l'activité de commissaire priseur, pour laquelle il a obtenu une patente il y quelques années, à la demande de l'État de Genève. Cependant, c'était pour rendre service, car les conditions de travail n'étaient pas optimales. Il ne pratique plus cette activité, car il y a trop de concurrence. Suite aux explications fournies par le recourant, l'OCAI a souhaité s'entretenir avec la personne qui avait effectué l'enquête économique. Le Tribunal a en conséquence imparti un délai à l'OCAI pour déposer ses observations complémentaires. Dans ses observations du 28 juin 2007, l'OCAI a déclaré avoir soumis une nouvelle fois le dossier à l'enquêtrice économique et revu la pondération, ainsi que le calcul du degré d'invalidité, afin de tenir compte de la manière la plus précise de la réalité des activités de l'assuré. L'enquêtrice a eu un entretien avec le vice-président du Syndicat Suisse des Antiquaires et Commerçants d'Art, aux termes duquel il existe un créneau pour les expertises sur le marché, bien qu'il soit difficile d'accès; en effet, les assurances, les douanes et les maisons de vente font appel à des experts. En l'occurrence, compte tenu de la très longue expérience de l'assuré et de la cartothèque importante de contacts dont il bénéficie, une proportion de 30% de son temps consacré aux travaux d'expertise apparaît raisonnable. S'agissant de la partie direction, un taux de 20% semble tout à fait vraisemblable compte tenu de la situation de l'assuré. Après réexamen de la situation, en tenant compte des précisions apportées par le recourant lors de la comparution personnelle, les champs d'activités suivants ont été retenus : direction 20%, achat-vente 50% et expertises 30%. En reprenant le calcul, l'OCAI est parvenu à la conclusion que l'assuré ne présentait pas d'incapacité de travail dans les activités de direction et d'expertise. En revanche, il présente une incapacité de 50% dans les activités d'achat et de vente, de sorte que le taux de diminution du revenu de l'activité professionnelle est de 25%. En tenant compte des répartitions des champs d'activités telles que décrites par le recourant, soit 15% pour la direction, 75% pour les achats/ventes et 10% pour les expertises, la perte de gain s'élève à 37%. En définitive, quelle que soit la répartition des champs d'activités, le degré d'invalidité du recourant est insuffisant pour ouvrir droit à une rente de l'assurance-invalidité. Dans ses dernières écritures du 10 août 2007, le recourant a persisté à contester la pondération des champs d'activité, de même que l'évaluation de l'incapacité de travail y relative. Ces écritures ont été communiquées à l'OCAI, qui a maintenu ses conclusions.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 délai et la forme prévus par la loi, le recours est recevable (art. 56 et 60 LPGA). Le litige porte sur le degré d'invalidité du recourant et, partant, sur son droit à percevoir des prestations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130 V 348 , consid. 3.4, ATF 128 V 30 consid. 1, 104 V 136 consid. 2; VSI 1998 p. 122 consid. 1a et p. 257 consid. 2b; jusqu'au 31 décembre 2002: art. 28 al. 2 LAI; du 1er janvier au 31 décembre 2003: art. 1 al. 1 LAI en corrélation avec l'art. 16 LPGA; depuis le 1er janvier 2004: art. 28 al. 2 LAI en corrélation avec l'art. 16 LPGA). Par ailleurs,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recourant conteste pouvoir travailler à raison de 80 % dans une activité adaptée et de 60 % dans son activité actuelle. Selon le médecin traitant, le recourant a présenté une incapacité de travail totale dès le 18 avril 2004 et de 50 % dès le 2 août 2004 dans son activité habituelle. Dans son rapport d'expertise du 3 février 2006, le Dr C__________, pour les mêmes diagnostics, retient une incapacité de travail totale du 18 avril 2004 au 1 er août 2004, puis une capacité de travail de 60 % dans l'activité d'antiquaire indépendant. Dans une activité adaptée respectant les limitations fonctionnelles, s'exerçant principalement en position assise, ne comprenant pas le port de charges modérées à lourdes avec le bras gauche et sans position contraignante pour le dos, la capacité de travail est d'environ 80 %. Le Tribunal de céans constate que l'expertise établie par le Dr C__________ remplit toutes les exigences de la jurisprudence pour lui attribuer pleine valeur probante. En effet, l'expert a pris connaissance de l'intégralité du dossier médical du recourant, l'expertise comporte une anamnèse détaillée, le médecin a examiné l'assuré et pris en compte ses plaintes, enfin ses conclusions sont claires et convaincantes. Au surplus, l'évaluation de la capacité de travail par l'expert dans l'activité actuelle d'antiquaire indépendant, soit 60 %, rejoint, à peu de différence près, celle du médecin traitant. L'expert s'est enfin prononcé sur l'exigibilité dans une activité adaptée respectant les limitations, qu'il a estimée à 80 %. Au vu de ce qui précède, le Tribunal n'a aucun motif lui permettant de s'écarter des conclusions de l'expert. S'agissant de l'aggravation de l'état de santé invoquée par le recours, le Tribunal de céans relève que dans une attestation du 10 mai 2007 - postérieure à la décision litigieuse - le Dr JACCARD, spécialiste FMH en médecine interne et rhumatologie, fait état de douleurs cervicales, de l'épaule gauche, de troubles neurologiques des membres supérieurs et de gonalgies droites. Force est cependant de constater que le rapport très succinct du médecin ne mentionne pas, hormis les troubles neurologiques, de nouvelle atteinte à la santé et qu'au surplus ces affections entraînent une incapacité de travail temporaire de trois semaines. Quoi qu'il en soit, il appartiendra au recourant, le cas échéant, de déposer une demande de révision. Reste à déterminer quel est le degré d'invalidité du recourant.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sans invalidité se détermine en règle générale d'après le dernier salaire que l'assuré a obtenu avant l'atteinte à la santé, en tenant compte de l'évolution des salaires jusqu'au moment du prononcé de la décision (ATF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(RCC 1985 p. 662 s. consid. 3a, 1981 p. 41 consid. 2; DUC, L'assurance-invalidité, in : Schweizerisches Bundesverwaltungsrecht, Soziale Sicherheit, 2ème édition, ch. 218 et note n° 269).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(ESS; ATF 126 V 76 consid. 3b/aa et bb). On se réfère alors à la statistique des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79 -80 consid. 5b/aa-cc). En l'espèce, pour évaluer l'invalidité du recourant, c'est à juste titre que l'intimé a appliqué la méthode extraordinaire d'évaluation, dès lors que le dossier ne contient aucune donnée économique permettant d'établir les deux revenus hypothétiques provenant d'une activité lucrative (cf. ATF 128 V 30 consid. 1). En effet, le recourant n'a pu fournir aucun document comptable et a précisé par ailleurs que ces dernières années, d'importants problèmes familiaux se sont sensiblement répercutés sur sa capacité de gain. En conséquence, faute de données comptables, il y a lieu d'établir, dans le cadre de la méthode extraordinaire d'évaluation de l'invalidité, les revenus avec et sans invalidité sur la base des salaires statistiques après pondération des champs d'activité et des empêchements. Il convient pour ce faire de se placer en 2005, date de l'éventuelle ouverture du droit à une rente selon l'art. 29 al. 1 LAI. Pour la répartition des champs d'activités, l'OCAI, après réexamen de la situation et au vu des précisions apportées par le recourant, a considéré que sans atteinte à la santé, les activités se répartissent comme suit : direction 20 %, achats/ventes 50 %, expertises 30 %. L'intimé a considéré que les seuls empêchements dont il convenait de tenir compte sont ceux rencontrés dans les activités d'achats et de ventes, à hauteur de 50 %, de sorte que l'incapacité de travail pondérée est de 25 %. Concernant les revenus, l'intimé s'est fondé sur le tableau TA7 des ESS (secteur privé et secteur public Suisse 2004) pour les diverses activités (chiffres 23, 35 et 26, salaires des hommes, avec des connaissances professionnelles spéciales, soit le niveau 3) et a déterminé un revenu annuel sans invalidité de 77'981 fr. Compte tenu des empêchements, la diminution du revenu de l'activité professionnelle s'élève à 19'314 fr., le revenu d'invalide à 58'667 fr. et le degré d'invalidité du recourant est de 25 %, étant rappelé que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Le Tribunal constate que l'intimé a retenu - généreusement - des empêchements à hauteur de 50 % dans les activités d'achats et de ventes, mais qu'il n'a pas procédé à un abattement sur le salaire d'invalide. Or, ainsi que le Tribunal de céans a déjà eu l'occasion de le juger, un tel abattement doit être également appliqué en cas d'utilisation de la méthode extraordinaire d'évaluation de l'invalidité dès lors que les limitations de l'assuré, sa capacité de travail partielle et la pratique d'activités légères impliquent un salaire moins élevé qu'un travailleur en bonne santé (cf. ATAS/958/2006 et ATFA non publié du 30 décembre 2003, I 238/03, consid. 5.2). Toutefois, même en tenant compte d'un abattement de 10 %, la comparaison des gains (revenu d'invalide 52'800 fr.) laisse apparaître un degré d'invalidité - arrondi - de 29 %, insuffisant pour ouvrir droit à une rente. Le recourant conteste la répartition des champs d'activités effectuée par l'intimé et soutient que dans son cas, elle doit s'établir comme suit : 15 % direction, 75 % achats/ventes et 10 % pour les travaux d'expertises. Quant aux empêchements, il considère qu'ils sont de 20 % pour les activités de direction et d'expertise et de 50 % dans celles concernant l'achat et la vente, de sorte que le taux de la diminution du revenu de l'activité professionnelle ne saurait être inférieur à 42 %. Tel n'est pas l'avis du Tribunal de céans. En effet, il appartient au recourant, dans le cadre de son obligation de réduire le dommage, de réorganiser son activité. A cet égard, on peut raisonnablement attendre de lui qu'il développe ses activités liées aux expertises dans la mesure retenue par l'OCAI, ce d'autant que ce créneau, compte tenu de l'expérience du recourant et des renseignements recueillis par l'intimé en cours de procédure, apparaît tout à fait réaliste. Enfin, contrairement à ce que soutient le recourant, l'on ne saurait admettre aucun empêchement dans les activités de direction et d'expertise, lesquelles sont entièrement compatibles avec les limitations fonctionnelles du recourant comme le relève, à juste titre l'intimé. La répartition des champs d'activités déterminée par l'intimé ne prête ainsi pas le flanc à la critique. Au vu de ce qui précède, mal fondé, le recours doit être rejeté. Conformément à l'art. 69 al. 1bis LAI, en vigueur dès le 1 er juillet 2006, un émolument, fixé en l'occurrence à 200 fr., est mis à la charge du recourant.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