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A/735/2010 vom 20. Mai 2010</w:t>
      </w:r>
    </w:p>
    <w:p>
      <w:r>
        <w:t>GE Cour de justice, 2010-05-20, FR</w:t>
      </w:r>
    </w:p>
    <w:p>
      <w:r>
        <w:rPr>
          <w:b/>
        </w:rPr>
        <w:t xml:space="preserve">Quelle: </w:t>
      </w:r>
      <w:r>
        <w:t>https://mcp.opencaselaw.ch/entscheid/ge_gerichte_A_735_2010</w:t>
      </w:r>
    </w:p>
    <w:p>
      <w:r>
        <w:t>FR: GE_GERICHTE A/735/2010 du 20 mai 2010</w:t>
      </w:r>
    </w:p>
    <w:p>
      <w:r>
        <w:t>IT: GE_GERICHTE A/735/2010 del 20 maggio 2010</w:t>
      </w:r>
    </w:p>
    <w:p>
      <w:pPr>
        <w:pStyle w:val="Heading2"/>
      </w:pPr>
      <w:r>
        <w:t>Regeste</w:t>
      </w:r>
    </w:p>
    <w:p>
      <w:r>
        <w:t>Sursis à la vente. Saisissabilité relative. | Plainte rejetée dans la mesure de sa recevabilité. Des camions sont saisissables s'agissant de l'exploitation d'une gravière car il s'agit d'une industrie (rappel de jusrisprudence). Un sursis à la vente est caduc si le débiteur est en retard sur le versement d'un acompte, peu importe le motif du retard. | LP.92 al. 1 ch. 3; LP.123</w:t>
      </w:r>
    </w:p>
    <w:p>
      <w:pPr>
        <w:pStyle w:val="Heading2"/>
      </w:pPr>
      <w:r>
        <w:t>Erwägungen</w:t>
      </w:r>
    </w:p>
    <w:p>
      <w:r>
        <w:rPr>
          <w:b/>
        </w:rPr>
        <w:t>E. 08</w:t>
      </w:r>
    </w:p>
    <w:p>
      <w:r>
        <w:t>xxxx75 H, 08 xxxx78 K, 08 xxxx28 G, 08 xxxx84 X, 09 xxxx60 M, 09 xxxx18 C, 09 xxxx80 C, 09 xxxx98 H, 09 xxxx20 P, 09 xxxx19 R, 09 xxxx00 R, 09 xxxx05 K, 09 xxxx69 P, 09 xxxx06 U, 09 xxxx07 T, 09 xxxx20 D, 09 xxxx53 T et 09 xxxx61 J. Au fond : 1. La rejette dans la mesure de sa recevabilité. 2. Déboute les parties de toutes autres conclusions. Siégeant : M. Philippe GUNTZ, président ;  M. Didier BROSSET et M. Denis MATHEY,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