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A/735/2006 vom 19. September 2006</w:t>
      </w:r>
    </w:p>
    <w:p>
      <w:r>
        <w:t>GE Cour de justice, 2006-09-19, FR</w:t>
      </w:r>
    </w:p>
    <w:p>
      <w:r>
        <w:rPr>
          <w:b/>
        </w:rPr>
        <w:t xml:space="preserve">Quelle: </w:t>
      </w:r>
      <w:r>
        <w:t>https://mcp.opencaselaw.ch/entscheid/ge_gerichte_A_735_2006</w:t>
      </w:r>
    </w:p>
    <w:p>
      <w:r>
        <w:t>FR: GE_GERICHTE A/735/2006 du 19 septembre 2006</w:t>
      </w:r>
    </w:p>
    <w:p>
      <w:r>
        <w:t>IT: GE_GERICHTE A/735/2006 del 19 settembre 2006</w:t>
      </w:r>
    </w:p>
    <w:p>
      <w:pPr>
        <w:pStyle w:val="Heading2"/>
      </w:pPr>
      <w:r>
        <w:t>Erwägungen</w:t>
      </w:r>
    </w:p>
    <w:p>
      <w:r>
        <w:rPr>
          <w:b/>
        </w:rPr>
        <w:t>E. 13</w:t>
      </w:r>
    </w:p>
    <w:p>
      <w:r>
        <w:t>Par acte du 1 er mars 2006, la communauté des copropriétaires et M. B______ (ci-après : les recourants) ont interjeté recours à l'encontre de la décision précitée. La demande d'autorisation de construire contrevenait à l'article 11 alinéa 4 du règlement d'application de la loi sur les constructions et les installations diverses du 27 février 1978 (RALCI - L 5 05 01) puisqu'elle n'était pas signée par le propriétaire. Le mandataire ne pouvait l'avoir signée valablement étant donné que le nom de la régie Z______ figurant sous la rubrique "propriétaire" était erroné, les propriétaires étant M. Z______ et M. E______. Le bureau d'architectes ne pouvait ainsi pas avoir été valablement mandaté. Partant, l'autorisation de construire délivrée sur cette base était nulle. Les travaux n'ayant pas été autorisés, ils contrevenaient tant à l'article 1 er lettre b qu'à l'article 7 de la loi sur les constructions et les installations diverses du 14 avril 1988 (LCI - L 5 05) ainsi qu'au règlement de copropriété de l'immeuble. Les locaux étaient déjà exploités sans qu'aucun permis d'exploiter n'ait été délivré en violation des articles 38 alinéa 1 er et 39 RALCI. Pour le surplus l'isolation préconisée par le SPBR n'avait pas été réalisée et le café servait des plats chauds alors même que le préavis de l'OCIRT précisait bien que l'établissement n'était pas équipé pour préparer ou servir de la restauration chaude. Le DCTI aurait dû prononcer l'interdiction d'utiliser et d'exploiter les locaux ainsi que leur remise en état conformément aux articles 129 et 130 LCI. L'autorisation de construire délivrée contrevenait encore aux articles 53 et 54 LCI parce que tant les WC de l'établissement que la cuisine ne disposaient pas de fenêtre, ne jouissaient pas d'un système de ventilation adéquat et n'étaient pas séparés de manière appropriée, le sas prévu entre ces deux locaux étant illusoire. Les recourants concluaient à l'annulation de la décision attaquée, ainsi que de l'autorisation de construire, et de tout éventuel permis d'occuper ou d'exploiter. Le tribunal devait constater que les travaux avaient été entrepris en violation de la loi. Il convenait d'ordonner la fermeture immédiate du bar, ainsi que la remise en état des locaux et de prononcer une amende à l'encontre des contrevenants. Il devait également faire interdiction tant au propriétaire qu'à l'exploitant actuel ou futur d'utiliser ou d'exploiter ces locaux en l'état actuel comme bar à café.</w:t>
      </w:r>
    </w:p>
    <w:p>
      <w:r>
        <w:rPr>
          <w:b/>
        </w:rPr>
        <w:t>E. 14</w:t>
      </w:r>
    </w:p>
    <w:p>
      <w:r>
        <w:t>Dans sa réponse du 31 mars 2006 l'intimée a fait référence à ses précédentes écritures, conclu au rejet du recours et à la confirmation de l'autorisation délivrée. "La C______" avait également été un bar à vin avec un comptoir, raison pour laquelle les travaux précédant l'ouverture de l'actuel bar "Le W______" avaient été minimes. De par l'effet suspensif accordé au recours, la décision de la CCRMC n'était pas encore entrée en force, ce qui expliquait pourquoi les travaux requis n'avaient pas encore été réalisés.</w:t>
      </w:r>
    </w:p>
    <w:p>
      <w:r>
        <w:rPr>
          <w:b/>
        </w:rPr>
        <w:t>E. 15</w:t>
      </w:r>
    </w:p>
    <w:p>
      <w:r>
        <w:t>Par pli du 13 avril 2006, le DCTI a conclu au rejet du recours. La requête en autorisation de construire était parfaitement conforme à la loi puisqu'elle avait été signée par un mandataire professionnellement qualifié. Il était sans pertinence que celui-ci ait indiqué par erreur la régie Z______ sous la rubrique du propriétaire au lieu de M. Z______ puisque celui-ci, copropriétaire, était également administrateur de la régie Z______. De plus, selon la jurisprudence du tribunal de céans, un droit de copropriété suffisait pour requérir valablement une autorisation de construire. De même, peu importait qu'il ait fait figurer la raison sociale du bureau d'architecte dans la case réservée au mandataire alors que le département avait coutume d'y inscrire le nom de l'architecte. D'ailleurs, le département avait été en mesure de corriger lui-même les rubriques erronées. La requête en autorisation de construire portait uniquement sur la modification des locaux en un bar à café, tous les préavis ayant été favorables et les conditions posées ayant été intégrées dans l'autorisation, les griefs des recourants étaient sans fondement. Enfin, une éventuelle violation du règlement de copropriété ressortant exclusivement du droit privé, ce grief ne pouvait être examiné par les autorités administratives et était donc irrecevable. EN DROIT 1. Interjeté en temps utile devant la juridiction compétente, le recours est recevable (art. 56A de la loi sur l'organisation judiciaire du 22 novembre 1941 - LOJ - E 2 05 ; art. 63 al. 1 litt. a de la loi sur la procédure administrative du 12 septembre 1985 - LPA - E 5 10). 2. Dès lors que la communauté des copropriétaires a la qualité pour recourir, la question de savoir si M. E______ pouvait valablement représenter M. B______ peut demeurer indécise, au vu de l'issue du litige. 3. Selon les recourants l'autorisation de construire est nulle pour un motif formel parce qu'elle n'a pas été signée par le propriétaire ni par un mandataire professionnellement qualifié. a. L'article 11 alinéa 4 RALCI dispose que toutes les demandes d'autorisation et tous les plans qui y sont joints doivent être datés et signés par le propriétaire de l'immeuble intéressé ou par un mandataire professionnellement qualifié, conformément à l'article 2, alinéa 3 de la loi. L'article 2 alinéa 3 LCI stipule que les plans et autres documents joints à toute demande d'autorisation publiée dans la Feuille d'avis officielle doivent être établis et signés par une personne inscrite au tableau des mandataires professionnellement qualifiés dans la catégorie correspondant à la nature de l'ouvrage, au sens de la loi sur l'exercice des professions d'architecte et d'ingénieur, du 17 décembre 1982 (L 5 40). Demeurent réservés les projets de construction ou d'installation d'importance secondaire qui font l'objet de dispositions spéciales édictées par voie réglementaire. b. Si la LCI protège effectivement les intérêts des propriétaires sur certains points, elle a aussi et surtout été adoptée pour protéger l’intérêt public à ce que soient élevées sur le territoire des constructions qui présentent certaines qualités, notamment en terme de conception, de solidité, d’aspect et de sécurité ( ATA/47/2005 du 1 er février 2005 ; ATA/561/2003 du 23 juillet 2003). Dans ce but, le législateur a prévu que les plans soient élaborés, visés et exécutés sous leur responsabilité par des professionnels dont les qualifications répondent à certains critères (art. 2 alinéa 3 LCI). Il en va de même de la direction des travaux (art. 6 LCI). c. Il y a formalisme excessif lorsque la stricte application des règles de procédure ne se justifie par aucun intérêt digne de protection, devient une fin en soi et complique de manière insoutenable l'application du droit matériel ou entrave de manière inadmissible l'accès aux tribunaux (ATF 120 II 425 consid. 2a; 119 Ia consid. 2a p. 6; 118 Ia 14 consid. 2a p. 15; consid. 4 p. 244 ; ATA/561/2003 du 23 juillet 2003). C'est en particulier le cas lorsque la violation d'une règle de forme de peu d'importance entraîne une sanction grave et disproportionnée (MOOR, Droit administratif, Berne 1991, vol. II, p. 153). En tout état, le Tribunal de céans a déjà jugé qu'une saine économie de procédure ne permettait pas à la commission d'annuler une autorisation de construire du seul fait que les plans n'étaient pas signés ( ATA/98/1998 du 4 mars 1998 ; ATA/560/1997 du 23 septembre 1997). En l'espèce les recourants ne contestent pas que le bureau d'architectes figurant sur la demande d'autorisation soit un mandataire professionnellement qualifié au sens décrit ci-dessus. Ils font simplement valoir que le formulaire précité n'a pas été correctement rempli. La LCI n'émet aucune exigence de forme quant à la manière dont la demande d'autorisation doit être requise, hormis le fait que les plans qui y sont joints doivent être signés par un mandataire professionnellement qualifié. Les modalités sont fixées par le règlement uniquement. Celui-ci stipule que la requête doit être signée par le propriétaire ou un mandataire professionnellement qualifié. Ces exigences ne sont donc pas posées par la loi mais par le règlement. Compte tenu du but poursuivi par la LCI, elles n'apparaissent pas comme une condition légale supplémentaire à l'obtention de l'autorisation, mais plutôt comme une règle d'ordre destinée à assurer l'application de la loi. Il est d'ailleurs significatif que le RALCI n'indique pas que la requête doit être remplie par le propriétaire ou le mandataire à peine de nullité. En conséquence, le fait que cette dernière n'ait pas été remplie par l'un des deux acteurs précités ne pourrait entraîner sa nullité que si de ce fait elle allait à l'encontre du but poursuivi par la LCI. Or, tel n'est pas le cas en l'espèce. La demande d'autorisation a été remplie et signée par un mandataire professionnellement qualifié et rien dans le dossier ne permet de penser que celui-ci agissait sans mandat ou à l'encontre de la volonté du propriétaire. Certes, une partie des indications étaient erronées mais au vu de la jurisprudence rappelée ci-dessus, le tribunal de céans ferait sans doute preuve de formalisme excessif s'il annulait l'autorisation de construire pour ce motif alors même que tant le nom du propriétaire que du mandataire ne faisaient aucun doute, au point que le département a été en mesure de rectifier lui-même le document. Cet argument doit donc être rejeté. 4. Les recourants invoquent la violation du règlement de copropriété de l'immeuble. La législation genevoise en matière de police des constructions a pour but d'assurer la conformité du projet présenté aux prescriptions en matière de constructions et d'aménagements intérieurs et extérieurs des bâtiments et des installations. En revanche, elle n'a pas pour objet de veiller au respect des droits réels. Quant aux procédures de recours prévues aux articles 145 et 149 LCI, elles permettent uniquement de contrôler si les autorisations de construire sollicitées ou délivrées ne sont pas en contradiction avec les dispositions de lois administratives, telles par exemple la LAT ou la LCI (ATA /129/2003 du 11 mars 2003 consid. 12). En conséquence, le contrôle de la conformité d'une activité avec le règlement de copropriété d'un immeuble est du ressort des tribunaux civils et le Tribunal administratif ne peut pas en connaître. 5. Les recourants soulèvent des griefs de différentes natures ayant trait aussi bien au respect des normes légales en matière de droit de la construction qu'aux conditions d'exploitation du bar concerné. Ce faisant, ils perdent de vue que la présente procédure a pour seul objet d'examiner la validité de l'autorisation de construire délivrée le 23 avril 2004, l'examen des griefs formulés devant donc être circonscrit à cet objet. 6. Chaque fois que l'autorité administrative suit les préavis des commissions consultatives voire des services compétents du département,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 selon l’article 143 LCI – de deux sections de trois membres, dont le président, juge au Tribunal de première instance et de personnes ayant des compétences spéciales en matière de construction, d’urbanisme et d’hygiène publique (art. 143 al. 1 et 4 LCI). Formée pour partie de spécialistes, la commission peut ainsi exercer un contrôle plus technique que le Tribunal administratif ( ATA/51/2006 du 31 janvier 2006 ; ATA/609/2004 du 5 août 2004 consid. 5b). En l'occurrence tous les préavis rendus par les services compétents se sont révélés favorables. A la lumière des considérations rappelées ci-dessus le tribunal de céans considère que ces différents services ainsi que la CCRMC composés d'experts sont mieux à même que lui d'évaluer la conformité de l'aération de la cuisine et des WC avec les normes en vigueur. Pour le surplus le Tribunal administratif relève que l'autorisation de construire se réfère expressément à la décision de l'OCIRT selon laquelle l'établissement n'est pas en mesure de préparer ou de servir de la cuisine chaude, une autorisation complémentaire portant sur la construction d'une hotte avec extraction en toiture devant être sollicitée à cet effet, le cas échéant. L'autorisation querellée précise encore que les conditions figurant dans les préavis et notamment la construction d'un faux plafond répondant à des caractéristiques précises exigée par le SPBR ainsi que l'installation d'une porte constituant un sas entre la cuisine et les WC voulue par le service de la protection de la consommation en font partie intégrante. Le préavis du SPBR prévoyant expressément que les dispositions de l'ordonnance sur la protection contre le bruit du 15 décembre 1986 (OPB - RS 814.41) seront respectées si un faux plafond est installé conformément aux précisions qu'il fournit, l'autorisation de construire est conditionnée à sa construction. Au demeurant les recourants n'exposent pas en quoi les travaux préconisés par le SPBR et les restrictions prévues par l'OCIRT (pas de cuisine chaude), consacreraient une violation des dispositions de l'OPB, de l'ordonnance sur la protection de l'air (OPair - RS 814.318.142) ou de la loi fédérale sur la protection de l'environnement du 7 octobre 1983 (LPE - RS 814.01). Au vu de ce qui précède l'autorisation délivrée par le DCTI est conforme à la loi et le recours doit être rejeté. En revanche, il apparaît que l'établissement en question est déjà exploité alors même que les travaux prévus par l'autorisation de construire n'ont pas été réalisés. L'essentiel des griefs soulevés par le recourant portent d'ailleurs sur cette question. Le tribunal de céans rappelle que le DCTI est compétent pour assurer le respect des autorisations qu'il accorde. De même, les recourants ont allégué que l'établissement préparait et servait des plats chauds en violation de la décision de l'OCIRT. Là encore, comme l'a souligné la CCRMC, il appartient à l'autorité compétente de vérifier ces allégations et cas échéant d'intervenir, raison pour laquelle le tribunal de céans communiquera le présent arrêt au département de l'économie, de l'emploi et des affaires extérieures. 7. Mal fondé, le recours sera rejeté. Un émolument de CHF 2'000.- sera mis à la charge des recourants, pris conjointement et solidairement. Aucune indemnité de procédure ne sera allouée à l'intimée, celle-ci n'ayant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