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A/732/2010 vom 2. Februar 2011</w:t>
      </w:r>
    </w:p>
    <w:p>
      <w:r>
        <w:t>GE Cour de justice, 2011-02-02, FR</w:t>
      </w:r>
    </w:p>
    <w:p>
      <w:r>
        <w:rPr>
          <w:b/>
        </w:rPr>
        <w:t xml:space="preserve">Quelle: </w:t>
      </w:r>
      <w:r>
        <w:t>https://mcp.opencaselaw.ch/entscheid/ge_gerichte_A_732_2010</w:t>
      </w:r>
    </w:p>
    <w:p>
      <w:r>
        <w:t>FR: GE_GERICHTE A/732/2010 du 2 février 2011</w:t>
      </w:r>
    </w:p>
    <w:p>
      <w:r>
        <w:t>IT: GE_GERICHTE A/732/2010 del 2 febbraio 2011</w:t>
      </w:r>
    </w:p>
    <w:p>
      <w:pPr>
        <w:pStyle w:val="Heading2"/>
      </w:pPr>
      <w:r>
        <w:t>Erwägungen</w:t>
      </w:r>
    </w:p>
    <w:p>
      <w:r>
        <w:rPr>
          <w:b/>
        </w:rPr>
        <w:t>E. 20</w:t>
      </w:r>
    </w:p>
    <w:p>
      <w:r>
        <w:t>Par avis du 4 août 2009, le Dr I________ a fait sienne la position des médecins SMR et a conclu a une capacité de travail de 70% dans l'activité habituelle depuis 2007, ladite activité respectant les limitations fonctionnelles constatées (pas de position statique prolongée assise, debout ou en rotation, flexion extension de la nuque, pas de port de charges supérieures à 5 kg, pas de travail à la chaîne, ni sur une machine vibrante). Par projet de décision daté du 6 août 2009, l'OAI a rejeté la demande tendant à l'octroi d'une rente invalidité, motif pris de ce que l'assurée disposait d'une capacité de travail de 70% dans son ancienne activité professionnelle, laquelle était exercée, avant l'atteinte à la santé, à 50% . Par courrier du 9 septembre 2009, l'assuré a formé opposition contre ce projet de décision. Elle a contesté pouvoir exercer une activité professionnelle à 70%, à fortiori celle de garde d'enfant: elle s'est prévalue à cet égard des rapports médicaux de ses médecins-traitant. Elle a précisé qu'elle avait de la peine à lire et écrire, ne pouvait plus faire de l'ordinateur, ni aller au cinéma, il lui était très difficile de se laver les cheveux, elle ne pouvait plus faire son ménage, ni descendre trois étages à pied pour faire la lessive, ni coudre, ni conduire (surtout en marche arrière), ni marcher plus d'un quart d'heure sans ressentir de fortes douleurs. Par ailleurs, à l'instar de son médecin traitant, son physiothérapeute avait relevé qu'elle devait aménager ses journées afin de limiter tous ses mouvements, ce qui ressortait de son rapport daté du 13 mai 2009. Elle était en effet très limitée dans toutes les amplitudes articulaires au niveau des cervicales (flexion, extension, rotation et inclinaison notamment) en raison de la douleur (évaluée à 10/10 sur l'échelle visuelle analogique et déclenchée par tout mouvement de la tête), des contractions musculaires de cette région habituellement très mobiles et des vertiges. Les deux séances de physiothérapie par semaine ne permettait pas de la soulager (cf. rapport du 13 mai 2009 de Monsieur R________, physiothérapeute). Pour toutes ces raisons, sa capacité d'exercer une activité professionnelle et sa capacité d'accomplir ses travaux habituels - question au demeurant pas traitée par l'OAI - étaient réduites à néant. Par décision du 4 février 2010, l'OAI a confirmé les termes de son projet de décision et rejeté la demande de l'assurée visant à l'octroi d'une rente-invalidité. En date du 1 er mars 2010, l'assurée a formé recours contre cette décision devant le Tribunal cantonal des assurances sociales. Elle a conclu à l'octroi d'une rente entière d'invalidité. Elle a en particulier contesté l'évaluation à 70% de sa capacité de travail par le Dr J________ et la Dresse K________, médecins SMR, et a critiqué la décision de l'OAI en ce qu'elle n'indiquait pas en quoi consistait une activité adaptée aux limitations fonctionnelles et ne mentionnait rien quant à sa capacité ou non à accomplir ses travaux habituels. En annexe à son recours, l'assurée a produit un certificat du docteur C__________, du 7 mai 2009, dans lequel ce médecin déclare que sa patiente présente, suite à son accident du 17 septembre 2006, des céphalées et des cervicalgies plus marquées à droite, irradiant dans l’omoplate et le bras droits et entraînant une diminution de la force de ce membre. La musculature cervicale demeure contractée et douloureuse à la palpation, limitant la motricité de façon importante. Les douleurs intenses nécessitent de lourds traitements de physiothérapie (une à deux fois par semaine) et médicamenteux (Triptizol, Dafalgan et Zoldorm). Ce traitement entraîne, avec les douleurs, une asthénie, une baisse de la tension artérielle avec parfois des nausées et des vertiges. L’essai d’injection de Botox s’était révélé inopportun, ayant conduit à une exacerbation des douleurs. Depuis l’accident et en raison de l’état algique important, la patiente présente de gros problèmes de sommeil contribuant à sa fatigue diurne, entraînant une perte de concentration et de fréquents oublis. Elle a par ailleurs de la peine à lire et écrire, ne peut plus utiliser l’ordinateur ou aller au cinéma. Les activités de la vie quotidiennes sont très perturbées : elle ne peut plus faire son ménage, ni descendre les trois étages de son domicile, ni coudre, ni se laver les cheveux, ni faire du sport, etc. L’intéressée est très affectée moralement par la situation et malgré la poursuite d’un traitement lourd, il est actuellement impossible de guérir les séquelles importantes de ce coup du lapin. Par écriture du 29 mars 2010, l'OAI a persisté dans sa position, à savoir que la capacité de travail était de 70% dans toutes activités, de sorte que - la recourante travaillant avant l'atteinte à la santé à 50% - il n'existait aucune invalidité. Il n'y avait par ailleurs pas lieu de mettre en œuvre une enquête ménagère pour évaluer la capacité à effectuer les travaux habituels, puisque même l'hypothèse la plus favorable à la recourante - à savoir une incapacité totale - ne lui conférerait aucun droit à une rente, le taux d'invalidité étant dans ce cas inférieur à 40%. Une audience de comparution personnelle des parties a eu lieu le 2 juin 2010. A cette occasion, la recourante a déclaré qu'elle avait travaillé pendant 20 ans chez X__________ toujours à 50% et que depuis 2000 elle avait bénéficié d'un plan social. Son activité avait consisté dans celle de garde d'enfants (en l'occurrence âgés entre 18 mois et 4 ans). Elle travaillait alors 21 heures par semaine. Son mari - qui serait à la retraite à la fin de l'année 2010 - l'aidait énormément, en particulier pour les gros travaux de ménage et les courses. Elle avait en outre une aide ménagère payée par son assurance complémentaire et une femme de ménage. Actuellement, elle continuait de souffrir de douleurs et d'insomnies et son médecin traitant lui prescrivait des antidépresseurs. Elle ne ressentait toutefois plus le besoin d'être traitée par un psychiatre. Enfin, il était choquant que le médecin SMR ait orienté ses questions lors de l'examen sur son couple ou sur d'éventuels problèmes d'alcool. Par ordonnance du 24 août 2010, la Cour de céans a ordonné l'apport du dossier A/1768/2009 concernant le litige avec l'assurance-accidents et communiqué à l'OAI le procès-verbal d'audition du 23 juin 2010 du Dr C__________, ainsi que la pièce déposée par ce dernier à l'audience (notes personnelles). Il ressort du procès-verbal d'audition du Dr C__________ en particulier ce qui suit: Suite à l'accident, la recourante n’avait pas présenté de troubles de la conscience, ni de réaction de peur ou de frayeur. En revanche, elle avait immédiatement ressenti des douleurs de la nuque modérées des deux côtés irradiant dans la tête et à mi-dos dans les 24 heures suivant le choc, moment à partir duquel avaient également été rapportées des céphalées intenses. Il n’y avait eu ni vertiges, ni vomissements, mais des nausées 24 heures après l’événement traumatique. Par la suite, l’évolution de l’état de santé de sa patiente s’était avéré défavorable avec, en sus de ce qui avait déjà été mentionné dans les divers rapports médicaux, une aggravation des vertiges pour lesquels elle était en investigation ORL. Par contre, l’intéressée ne présentait pas de composante dépressive pouvant aggraver la douleur. La recourante était au contraire une personne volontaire qui avait repris le travail et avait malheureusement dû l’arrêter. Le traitement par injections de Botox effectué par le docteur B__________ s’était révélé néfaste, ayant augmenté les douleurs pendant à peu près six mois après les infiltrations. En outre, l’effet myorelaxant de la toxine botulique avait engendré un relâchement de la musculature cervicale qui pouvait se traduire par un effet sur la statique. Les nausées persistaient depuis l’accident et la patiente prenait des médicaments contre ce trouble. Quant aux troubles de l’équilibre, ils étaient apparus dans les six mois précédant l’audience. Selon le thérapeute, les séquelles de l’accident étaient graves. Actuellement, la recourante suivait un traitement lourd, la posologie et le nombre de médicaments ayant du être augmenté avec la prise de Lyrica (médicament prescrit en cas de douleurs neuropathiques) en plus du Dafalgan, de myorelaxants et d'anti-inflammatoires) et la prise d'un antidépresseur dans le but d'augmenter le seuil de la résistance à la douleur. Ces médicaments étaient à l'origine d'un état de fatigue, de difficulté de concentration et peut-être des troubles de l'équilibre qui étaient apparus durant ces 6 derniers mois. Ainsi, l'état de santé de sa patiente s'était aggravé depuis l'accident avec - outre des contractures, des douleurs, des troubles du sommeil, une concentration diminuée - une aggravation des vertiges depuis plusieurs mois. Elle était incapable de vaquer à ses obligations journalières et elle avait en particulier dû renoncer à garder son petit-fils et ne pouvait plus faire de sport, alors qu'elle en pratiquait beaucoup. Le 7 septembre 2010, l'OAI a fait valoir ses observations en remettant à la Cour de céans un avis du Dr. L________, médecin SMR. Selon lui, le dossier constitué dans le litige avec l'assurance-accidents n'apportait aucun élément nouveau susceptible de modifier la position exprimée jusqu'ici. Il fallait retenir toutefois que des céphalées existaient bien avant l'accident (en 1991 et 1998). Le 5 octobre 2010, la recourante s'est également déterminée. En premier lieu, elle a contesté la production de l'avis du Dr. L________, dénué selon elle de toute objectivité et impartialité. Elle a ensuite rappelé les troubles de la santé dont elle souffrait depuis la survenance de l'accident, à savoir des douleurs des deux côtés à la nuque, avec intenses céphalées et nausées (dans les 24 heures depuis l'accident), des douleurs à la colonne vertébrale en flexion, extension, rotations et inclinaisons gauche et droites, des douleurs à la pression sur la nuque, la persistance de cervicalgies droites et gauches, avec douleurs à l'omoplate droite, des cervicalgies et céphalées invalidantes. La "fiche documentaire pour première consultation après traumatisme d'accélération cranio-cervical" - établie deux jours après l'accident - mentionnait ces troubles. Enfin, il fallait considérer comme irrelevante la remarque du Dr. L________ selon laquelle elle souffrait déjà de céphalées avant l'accident, puisque ces troubles remontaient à des épisodes anciens. Le 7 octobre 2010,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décision litigieuse ayant été rendue le 4 février 2010, la LPGA s'applique au cas d'espèce. Sur le plan matériel, les faits pertinents remontant à février 2006 et s'étendant à mars 2008, il sera fait application des dispositions en vigueur à ce moment (4ème et 5 ème révision de la LAI). Interjeté dans les forme et délai prescrits, le recours est recevable ( art. 60 et 61 LPGA). La question litigieuse consiste à déterminer si la recourante peut prétendre à l'octroi d'une rente invalidité, singulièrement quelle est sa capacité de travail. 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 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 La Cour européenne des droits de l’homme a d’ailleurs rejeté le recours déposé par l’assuré contre le jugement précité (arrêt Bicer contre la Suisse du 22 juin 1999 in JAAC 2000 138 1341). Selon la jurisprudence de la Cour, le fait que les experts mandatés par le tribunal soient subordonnés à l’une des parties n’est en principe pas incompatible avec l’art. 6 par. 1 er de la Convention européenne des droits de l’homme qui garantit le droit à un procès équitable (JAAC 1998 95 917).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plus particulièrement des suites des accidents de type "coup de lapin" (HWS, Schleudertrauma), il existe dans de nombreux cas une problématique douloureuse chronicisée, diagnostiquée comme un trouble somatoforme douloureux. Selon la jurisprudence, les troubles douloureux persistants (troubles somatoformes douloureux ou fibromyalgie ; ATF 130 V 352 ) n'entraînent pas, en règle générale, une limitation de longue durée de la capacité de travail pouvant conduire à une invalidité (art. 4 LAI en relation avec art. 8 LPGA). Les principes développés dans ce contexte sont applicables par analogie quand se pose la question du caractère invalidant des séquelles d'un traumatisme de type coup du lapin à la colonne cervicale en l'absence de déficits fonctionnels ou organiques objectivables. Conformément au principe de l'égalité de traitement, il convient de soumettre aux mêmes conditions assécurologiques l'ensemble des syndromes douloureux qui ne peuvent s'expliquer par un substrat organique objectivable. Le fait que les séquelles d'un traumatisme de type coup du lapin à la colonne cervicale puissent éventuellement s'expliquer par l'existence d'un substrat organique ne s'oppose pas à l'application des critères jurisprudentiels mis à la reconnaissance du caractère invalidant des troubles somatoformes douloureux persistants. Il convient enfin d'attacher de l'importance au fait que les troubles (dans le sens d'un syndrome complexe et chronique) désignés sous les termes de coup du lapin ou Chronic Whiplash Injury ne figurent dans aucun système de classification médical reconnu. Dans ce contexte, il appartient à l’administration d’examiner avec soin si l’appréciation médicale relative à l’incapacité de travail s’inscrit dans le cadre d’éléments étrangers à l’invalidité, tels que des facteurs psychosociaux ou socioculturels, lesquels ne relèvent pas des assurances sociales, ou si elle répond aux critères posés par la jurisprudence en matière de trouble somatoforme (ATF 9C_510/2009 du 30 août 2010 publié in ATF 136 V 279 ). C'est le lieu de rappeler que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En l'espèce, la décision litigieuse se fonde sur un rapport rhumatologique rendu le 8 juillet 2009 par le Dr. J________ et la Dresse K________, médecins SMR. Ce rapport - quand bien même il émane également d'une ancienne médecin-chef adjointe en psychiatrie, porte - comme son nom l'indique - exclusivement sur un examen clinique rhumatologique. Il comprend une anamnèse (dont ressortent les plaintes de la recourante), un status clinique (général et ostéoarticulaire), une analyse du dossier radiologique et une appréciation du cas. Les diagnostics retenus dans ce cadre comme ayant une influence sur la capacité de travail sont ceux de syndrome cervical dans le contexte d'une status post traumatique de type whiplash, de lésions dégénératives, notamment C5 à C7 et de dysbalances musculaires (M5.30). Ces diagnostics rejoignent dans une large mesure ceux posés par les médecins traitants, les Drs. C__________, B__________, D__________ et E__________. Ces derniers ont en effet retenu les diagnostics suivants comme ayant une influence sur la capacité de travail: cervicalgies post traumatiques, sur traumatisme par accélération, décélération du rachis cervical de degré II (ou syndrome de whiplash), discopathie C5-C6 et C6-C7 (raideur segmentaire), cervicalgies permanentes avec céphalées (accompagnées de chutes, vomissements, vertiges) et des insomnies. Sous réserve des lésions observées sur les segments C5 à C7, aucun des médecins n'a relevé de substrat organique, ni de déficit neurologique. En revanche, les médecins SMR ne se sont pas prononcés sur l'aspect psychiatrique; ils n'ont ni admis ni exclu une atteinte à la santé psychique et n'ont - contrairement à ce que commande la jurisprudence - pas examiné l'effort de volonté qui serait cas échéant exigible de la recourante, se bornant à relever la discordance importante entre les handicaps allégués et les données cliniques objectives et évoquant à ce titre une majoration des plaintes. Le dossier ne comprend en outre aucune évaluation médicale émanant d'un médecin psychiatre. Sur le plan psychique, les seuls éléments en la possession de la Cour de céans consistent dans le fait que la recourante - décrite comme une personne volontaire et collaborante - ne présente - selon le Dr. C__________ - pas de composante dépressive mais est néanmoins très affectée moralement. Il lui a prescrit des antidépresseur. Ces indications qui n'émanent pas d'un médecin spécialiste ne suffisent pas à forger la conviction de la Cour de céans. Sous cet angle, l'instruction du dossier doit donc être complétée. S'agissant du volet somatique, et pour ce qui est plus spécifiquement des limitations fonctionnelles et de l'évaluation de la capacité de travail, il apparaît que les conclusions des médecins SMR et du Dr C__________, seul médecin traitant à s'être prononcé à cet égard, divergent. En effet, les médecins SMR ont mentionné - en lien avec l'atteinte dégénérative constatée - les positions statiques prolongées (assise, debout, en rotation-flexion de la nuque), le port de charges supérieur à 5kg, le travail à la chaîne ou sur machine vibrante et le bruit. Ils ont également admis une plus grande fatigabilité en raison des insomnies. A ce titre, ils ont admis que la recourante pouvait objectivement être capable de travailler "actuellement " à au moins 50% dans son ancienne activité professionnelle, avec une reprise graduelle à 70%. En raison de l'atteinte dégénérative objectivée au niveau des cervicales et tenant compte des troubles du sommeil à l'origine d'une certaine fatigabilité, ils ont conclu à une capacité de travail exigible, depuis début 2007, de 70% dans " l'ancien poste de travail" ou dans toute autre activité adaptée. Le Dr. C__________ a retenu - comme limitations fonctionnelles - les positions assises et debout prolongées, la marche, le fait de se pencher, d'être accroupi, à genou, les mouvements de rotation, le fait de soulever, porter, monter. Il a également relevé des capacités de concentration, d'adaptation et de résistance limitées. A ce titre, il a conclu à une incapacité totale de travail. Face à ces appréciations contradictoires, la Cour de céans n'est pas en mesure de se forger une opinion au degré de la vraisemblance prépondérante. En outre, si le rapport rhumatologique des médecins SMR remplit formellement les conditions nécessaires pour lui reconnaître pleine valeur probante, les conclusions tirées quant à la capacité de travail ne sont ni suffisamment précises, ni crédibles. En effet, le Cour de céans peine à comprendre l'évolution de la capacité de travail exigible d'abord - semble-t-il - à 50% puis à 70%. Par ailleurs, la Cour de céans ne parvient pas à déterminer à quelle activité les médecins SMR se réfèrent, lorsqu'ils font état de l'ancienne activité et de l'ancien poste de travail et qu'ils les considèrent comme adaptés aux limitations fonctionnelles. S'agissant de l'activité exercée avant l'atteinte à la santé, tel ne saurait manifestement pas être le cas. En effet, avant l'atteinte à la santé, la recourante travaillait comme maman de jour. A ce titre, elle gardait des enfants âgés entre 18 mois et 4 ans. Or, il est notoire qu'une activité de cette nature implique - outre toutes sortes d'activités physiques à répétition (pousser, tirer, se baisser, courir…) - le port de charges de plus de 5kg, un nourrisson pesant à la naissance en moyenne 3kg déjà. Pour cette raison, la Cour de céans écartera le rapport des médecins SMR. Pour le surplus, la Cour de céans ne saurait pas plus suivre les conclusions du Dr C__________ quant à la capacité de travail de la recourante (rapports datés des 20 mars 2008 et 8 avril 2009), ces conclusions n'étant corroborées par aucun des autres médecins consultés faute de s'être prononcés sur cette question.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A cela s’ajoute la nécessité de procéder, le cas échéant et eu égard au statut de la recourante, à une enquête ménagère afin de déterminer quels sont les empêchements rencontrés dans l’accomplissement de ses travaux habituels. Au bénéfice des explications qui précèdent, le recours sera admis et l'affaire sera renvoyée à l'OAI pour qu'il procède à un complément d'instruction par le biais d'une expertise bi-disciplinaire, rhumatologique et psychiatrique. En effet,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Quand bien même il succombe à la procédure, aucun émolument ne sera mis à la charge de l'OAI ( 69 al.1 bis LAI), dès lors qu'il ne saurait lui être reproché de n'avoir pas fait porté son instruction sur le volet psychiatrique du dossier. En effet, la jurisprudence rendue à cet égard par le Tribunal fédéral date du 30 août 2010, soit une date postérieure au jour de la décision querellée. En revanche, la recourante a droit à une indemnité à titre de participation à ses frais et dépens, que la Cour de céans fixe en l’occurrence à 2'000 fr. (cf. art. 89H al. 3 LPA). PAR CES MOTIFS, LA CHAMBRE DES ASSURANCES SOCIALES : Statuant A la forme : Déclare le recours recevable. Au fond : L'admet et annule la décision de l'OAI du 4 février 2010. Renvoie la cause à l'OAI pour complément d'instruction dans le sens des considérants et nouvelle décision.. Condamne l’OAI à payer à la recourante la somme de 2'000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