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A/731/2024 vom 28. Oktober 2025</w:t>
      </w:r>
    </w:p>
    <w:p>
      <w:r>
        <w:t>GE Cour de justice, 2025-10-28, FR</w:t>
      </w:r>
    </w:p>
    <w:p>
      <w:r>
        <w:rPr>
          <w:b/>
        </w:rPr>
        <w:t xml:space="preserve">Quelle: </w:t>
      </w:r>
      <w:r>
        <w:t>https://mcp.opencaselaw.ch/entscheid/ge_gerichte_A_731_2024</w:t>
      </w:r>
    </w:p>
    <w:p>
      <w:r>
        <w:t>FR: GE_GERICHTE A/731/2024 du 28 octobre 2025</w:t>
      </w:r>
    </w:p>
    <w:p>
      <w:r>
        <w:t>IT: GE_GERICHTE A/731/2024 del 28 ottobre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Lorsque l'assuré dépose une nouvelle demande de prestations, après que l’OAI lui a refusé tout droit à celles-ci dans un premier temps, l’examen matériel doit être effectué de manière analogue à celui d'un cas de révision au sens de l'art. 17 al. 1 LPGA (ATF 133 V 108 consid. 5 ; 130 V 343 consid. 3.5.2 ; 130 V 71 consid. 3.2 ; cf . arrêt du Tribunal fédéral 9C_899/2015 du 4 mars 2016 consid. 4.1). L’art. 17 al. 1 LPGA dispose que si le taux d’invalidité du bénéficiaire de la rente subit une modification notable, la rente est, d’office ou sur demande, révisée pour l’avenir, à savoir augmentée ou réduite en conséquence, ou encore supprimée.</w:t>
      </w:r>
    </w:p>
    <w:p>
      <w:r>
        <w:rPr>
          <w:b/>
        </w:rPr>
        <w:t>E. 2.1</w:t>
      </w:r>
    </w:p>
    <w:p>
      <w:r>
        <w:t>Le 1 er janvier 2022, les modifications de la LAI du 19 juin 2020 (développement continu de l’AI), ainsi que celles du 3 novembre 2021 du règlement sur l’assurance-invalidité du 17 janvier 1961 (RAI - RS 831.201) sont entrées en vigueur. Dans le cadre de cette révision, l'art. 17 LPGA a notamment été adapté. En l’absence de disposition transitoire spéciale, ce sont les principes généraux de droit intertemporel qui prévalent, à savoir l’application du droit en vigueur lorsque les faits déterminants se sont produits ( cf .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 cf . arrêt du Tribunal fédéral 9C_60/2023 du 20 juillet 2023 consid. 2.2. et les références). Dans les cas de révision selon l'art. 17 LPGA, conformément aux principes généraux du droit intertemporel ( cf . ATF 144 V 210 consid. 4.3.1), il convient d’évaluer, selon la situation juridique en vigueur jusqu’au 31 décembre 2021, si une modification déterminante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 er janvier 2022 sont applicables. La date pertinente de la modification est déterminée par l'art. 88 a RAI (arrêts du Tribunal fédéral 8C_55/2023 du 11 juillet 2023 consid. 2.2 ; 8C_644/2022 du 8 février 2023 consid. 2.2.3). En l’occurrence, la décision litigieuse a certes été rendue après le 1 er janvier 2022. Toutefois, la modification des circonstances alléguée par la recourante serait survenue avant cette date. Par conséquent, les dispositions applicables seront citées dans leur teneur en vigueur jusqu’au 31 décembre 2021.</w:t>
      </w:r>
    </w:p>
    <w:p>
      <w:r>
        <w:rPr>
          <w:b/>
        </w:rPr>
        <w:t>E. 2.2</w:t>
      </w:r>
    </w:p>
    <w:p>
      <w:r>
        <w:t>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144 I 103 consid. 2.1 ; 134 V 131 consid. 3 ; 130 V 343 consid. 3.5). Tel est le cas lorsque la capacité de travail s'améliore grâce à une accoutumance ou à une adaptation au handicap (ATF 141 V 9 consid. 2.3 ;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 112 V 371 consid. 2b ; 112 V 387 consid. 1b). Un motif de révision au sens de l'art. 17 LPGA doit clairement ressortir du dossier. La réglementation sur la révision ne saurait en effet constituer un fondement juridique à un réexamen sans condition du droit à la rente (arrêt du Tribunal fédéral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En effet,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9 ). Lorsque la comparaison des états de fait déterminants dans le temps met en évidence une modification des circonstances pertinentes, le droit à la rente doit être examiné à nouveau sous tous ses aspects factuels et juridiques (« allseitige Prüfung »), sans que les évaluations antérieures ne revêtent un caractère obligatoire. Il n'est pas nécessaire que ce soit l'élément de fait qui s'est modifié qui conduise à fixer différemment le droit à la rente. Selon la jurisprudence, il suffit qu'à la suite de la modification d'une circonstance, un autre élément déterminant résultant de l'examen complet du droit à la prestation entraîne une augmentation, une diminution ou une suppression de la rente. Ainsi, le Tribunal fédéral a retenu que, dans le cadre de la nouvelle évaluation de l'état de santé et de la capacité de travail, un trouble de santé s'ajoutant au tableau clinique existant ne fait pas obstacle à une suppression de la rente. Sont susceptibles de faire l'objet d'une nouvelle évaluation, éventuellement divergente, les aspects qui font l'objet d'une hypothèse, par exemple, les revenus avec et sans invalidité et les hypothèses qui les sous-tendent, l'état de santé ou la capacité de travail (arrêt du Tribunal fédéral 8C_240/2023 du 14 mars 2024 consid. 7.1.2 et les références). Concernant le revenu sans invalidité en particulier, la jurisprudence a retenu que, dans la procédure de révision, le parcours professionnel effectivement suivi entretemps par la personne assurée est connu, à la différence de la procédure initiale à l'issue de laquelle le droit à la rente est déterminé pour la première fois. Ce parcours permet éventuellement - à la différence toujours de l'octroi initial de la rente - de faire des déductions (supplémentaires) quant à l'évolution professionnelle et salariale hypothétique sans atteinte à la santé. Pour examiner alors ce que la personne assurée aurait atteint sur le plan professionnel et salarial sans atteinte à la santé ou de quelle manière son salaire se serait développé, il faut tenir compte de l'ensemble des circonstances survenues jusqu'au moment de la révision (ATF 139 V 28 consid. 3.3.3.2 et les références ; arrêt du Tribunal fédéral 8C_240/2023 du 14 mars 2024 consid. 7.1.3 et les références).</w:t>
      </w:r>
    </w:p>
    <w:p>
      <w:r>
        <w:rPr>
          <w:b/>
        </w:rPr>
        <w:t>E. 2.3</w:t>
      </w:r>
    </w:p>
    <w:p>
      <w:r>
        <w:t>Dès le 1 er janvier 2004, l’assuré a droit à une rente entière s’il est invalide à 70% au moins, à un trois quarts de rente s'il est invalide à 60% au moins, à une demi-rente s’il est invalide à 50% au moins, ou à un quart de rente s’il est invalide à 40%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2.4</w:t>
      </w:r>
    </w:p>
    <w:p>
      <w:r>
        <w:t>L'évaluation des syndromes sans pathogenèse ni étiologies claires et sans constat de déficit organique ne fait pas l'objet d'un consensus médical (arrêt du Tribunal fédéral 9C_619/2012 du 9 juillet 2013 consid. 4.1). La reconnaissance de l'existence de troubles somatoformes douloureux persistants suppose d'abord la présence d'un diagnostic émanant d'un expert (psychiatre) et s'appuyant lege artis sur les critères d'un système de classification reconnu (ATF 130 V 396 consid. 5.3). Les principes jurisprudentiels développés en matière de troubles somatoformes douloureux sont également applicables à la fibromyalgie (ATF 132 V 65 consid. 4.1).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 (ATF 141 V 281 ). Il en est de même lors de l'examen du droit à une rente d'invalidité en cas de troubles psychiques, car les maladies psychiques ne peuvent en principe être déterminées ou prouvées que de manière limitée sur la base de critères objectifs.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141 V 281 ; 143 V 409 consid. 4.5 et 143 V 418 consid. 6 et 7).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l'atteinte de celles dues à des facteurs non assurés.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 cf . ATF 131 V 49 consid. 1.2). Le juge vérifie librement si l’expert médical a exclusivement tenu compte des déficits fonctionnels résultant de l’atteinte à la santé et si son évaluation de l’exigibilité repose sur une base objective.</w:t>
      </w:r>
    </w:p>
    <w:p>
      <w:r>
        <w:rPr>
          <w:b/>
        </w:rPr>
        <w:t>E. 2.5</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 cf .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 SVR 2006 IV n° 10 p. 39).</w:t>
      </w:r>
    </w:p>
    <w:p>
      <w:r>
        <w:rPr>
          <w:b/>
        </w:rPr>
        <w:t>E. 3</w:t>
      </w:r>
    </w:p>
    <w:p>
      <w:r>
        <w:t>En l’espèce, il convient d’examiner en premier lieu la valeur probante de l’expertise du O_____. La recourante fait valoir que cette expertise ne peut se voir reconnaitre une telle valeur, car l’expert psychiatre N_____ n’avait pas retenu de diagnostic psychiatrique et qu’il n’avait pas commenté l’expertise du Dr H_____, qui en retenait. L’expertise du Dr H_____ remettait en cause celle du Dr N_____. Le Dr H_____ a retenu dans son rapport d’expertise du 12 octobre 2022 un trouble anxieux et dépressif mixte (F41.2), relevant qu’il existait des éléments dépressifs et anxieux qui n’atteignaient pas le degré d’un trouble spécifique de l’un ou l’autre catégorie. En 2013-2014 et 2016-2017, l’expertisée avait présenté des épisodes dépressifs caractérisés qui étaient attestés par les rapports des Drs U_____ et V_____ ainsi que par la psychothérapeute de la recourante, avec une rémission probablement complète après chaque épisode dépressif, même s’il persistait au jour de l’expertise, une certaine fragilité de l’humeur. L’expert posait ainsi le diagnostic de trouble dépressif récurrent, actuellement en rémission (F33.4). La chambre de céans retient que le rapport de l’expert N_____ est peu convaincant, dans la mesure où il ne retient aucun diagnostic psychiatrique. Même si la recourante ne présentait pas d’épisode dépressif au moment de l’expertise, il ressortait du dossier qu’elle en avait connu plusieurs épisodes caractérisés, ce qui est attesté par les Drs U_____ et V_____, de sorte qu’il parait surprenant qu’il ne les mentionne pas avec la précision, en rémission. De plus, il s’imposait en particulier de commenter les conclusions du Dr H_____ s’agissant des diagnostics psychiatriques que celui-ci avait retenus. Le Dr N_____ n’a pas retenu le diagnostic de syndrome douloureux somatoforme persistant, au motif que la recourante ne présentait pas de détresse, mais un substratum somatique partiellement explicatif à type de syndrome lombaire. Là encore, l’expert n’est pas convaincant, dans la mesure où il exclut rapidement ce diagnostic, alors que cette question nécessitait un examen particulier, au vu des conclusions du Dr H_____, dont l’expert N_____ devait avoir eu connaissance, puisqu’il était résumé dans l’expertise du O_____. Il aurait en effet dû évaluer si les douleurs de la recourante étaient, pour une part significative, dépourvues de substrat organique, ce qu’il n’a pas fait alors qu’il admettait qu’une partie des douleurs n’en avait pas. De plus, la recourante lui avait indiqué qu’elle souffrait non seulement de lombalgies mais également d’une irradiation dans les membres inférieurs et de cervicalgie des processus herniaire et une gonalgie bilatérale et elle avait en outre indiqué à l’expert orthopédique du O_____ qu’elle avait également des douleurs aux deux hanches, avec une irradiation principalement au membre inférieur droit jusqu’aux pieds et orteils, avec des douleurs constantes évaluées à 7-8 sur 10, pouvant atteindre 10 sur 10 sous forme d’élancement, comme des coups de couteau dans le dos. Or, l’expert N_____ n’a évoqué que des douleurs lombaires. Il n’a donc pas sérieusement examiné si les douleurs de la recourante avaient réellement un substrat organique. À teneur des conclusions consensuelles des experts du O_____, les limitations de la recourante liées à ses atteintes somatiques sont de peu importantes, alors qu’elles apparaissent beaucoup plus importantes dans le ressenti de la recourante. Selon l’expert H_____, si l'on en jugeait par le nombre de ses démarches thérapeutiques somatiques et psychiatriques entreprises, y compris agressives (chirurgicales), on pouvait en déduire que le degré de souffrance de la recourante était élevé et elle paraissait authentique dans ses plaintes. Il en résulte que les douleurs de la recourante semblent pouvoir être en grande partie sans substrat organique, de sorte qu’il paraît possible, à teneur de l’expertise du Dr H_____, que les critères diagnostiques d’un trouble somatoforme douloureux pourraient être réunis. S’agissant de l’experte en orthopédie du O_____, elle ne discute pas la question de savoir si une partie des douleurs ressenties par la recourante est sans substrat organique et ne mentionne même pas l’expertise du Dr H_____, alors qu’elle était récente et faisait partie du dossier de la recourante, qui était résumé au début du rapport du O_____, sous synthèse du dossier. Son appréciation des capacités et ressources de la recourante apparaît lacunaire, dès lors qu’elle ne commente pas son ressenti douloureux ni les limitations importantes exprimées par celle-ci. Elle retient une capacité de travail de 100% avec pour seule motivation le fait que la recourante serait pleine de ressources, qu’elle parlait quatre langues et qu’elle avait une bonne formation en bureautique et marketing, ce qui est contestable, au vu des déclarations de celle-ci et des douleurs dont elle se plaint de longue date. S’agissant de l’expertise rhumatologique du Dr M_____, elle ne mentionne pas non plus les conclusions du Dr H_____ et ne répond pas à la question de savoir si une partie des douleurs ressenties par la recourante serait sans substrat organique, l’expert se contentant d’indiquer qu’il n’avait pas de critères en faveur d’une fibromyalgie, sans motivation. Il convient ainsi de retenir que l’expertise du O_____ n’est pas probante, faute d’avoir examiné la problématique soulevée par le Dr H_____, en lien avec le diagnostic de trouble douloureux somatoforme persistant. Il apparaît ainsi nécessaire de faire procéder à un nouvel examen du cas par un psychiatre et un rhumatologue. Si ce diagnostic est retenu, l’expert psychiatre devra examiner les indicateurs de gravité développés par le Tribunal fédéral afin de se déterminer sur la capacité de travail de la recourante en tenant compte de l’ensemble de sa situation. Il a été donné partiellement suite aux remarques et suggestions de l’intimé sur la mission d’expertise judiciaire. La référence au 15 mars 1996 a été supprimée et la question 2.30 concernant l’expertise psychiatrique, en lien avec le rapport du Dr N_____, a été complétée dans le sens requis par l’intimé. En revanche, le ch. 2.8 de l’expertise rhumatologique n’a pas été complété dans le sens requis par l’intimé, dès lors que le diagnostic de syndrome douloureux somatoforme persistant (F.45.4) est du seul ressort de l’expert psychiatre, de même que l’analyse des indicateurs de gravité et de cohérence développés par le Tribunal fédéral. PAR CES MOTIFS, LA CHAMBRE DES ASSURANCES SOCIALES : Statuant préparatoirement I.                   Ordonne une expertise psychiatrique et rhumatologique de A______. II.                   Commet à ces fins la docteure S_____, spécialiste en psychiatrie et psychothérapie, et le docteur T_____, spécialiste en rhumatologie. Expertise rhumatologique : 1.             Dit que la mission d’expertise sera la suivante : a)        prendre connaissance du dossier de la cause ; b)        si nécessaire, prendre tous renseignements auprès des médecins ayant traité l’assurée ; c)        examiner et entendre l’assurée, après s’être entourés de tous les éléments utiles, au besoin  d’avis d’autres spécialistes ; d)        si nécessaire, ordonner d’autres examens. 2.             Charge l’expert d’établir un rapport détaillé et de répondre aux questions suivantes : 1.        Anamnèse détaillée. 2.        Plaintes et données subjectives de la personne. 3.        Status clinique et constatations objectives. 4.        Diagnostics selon la classification internationale. Précisez quels critères de classification sont remplis et de quelle manière (notamment l’étiologie et la pathogénèse). 5.        Quel est le degré de gravité de chacun des troubles diagnostiqués (faible, moyen, grave) ? 6.        Depuis quand les différentes atteintes sont-elles présentes ? 7.        Les plaintes sont-elles objectivées ? 8.        La recourante souffre-t-elle dans une mesure significative de douleurs psychogènes sans substrat organique ? prière de commenter votre réponse, en lien avec le rapport du Dr H_____ du 12 octobre 2022 (diagnostic de trouble somatoforme douloureux). 9.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l’assurée). 10.    Dans quelle mesure des atteintes diagnostiquées ont-elles limité les fonctions nécessaires à la gestion du quotidien depuis 1996 ? 11.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12.    Dans l’affirmative, considérez-vous que cela suffise à exclure une atteinte à la santé significative ? 13.    Quels ont été les traitements entrepris et avec quel succès (évolution et résultats des thérapies) ? 14.    L’assurée a-t-elle fait preuve de résistance à l’égard des traitements proposés ? La compliance est-elle bonne ? 15.    Dans quelle mesure les traitements ont-ils été mis à profit ou négligés ? 16.    Les limitations du niveau d’activité sont-elles uniformes dans tous les domaines (professionnel mais aussi personnel) ? Quel est le niveau d’activité sociale et comment a-t-il évolué depuis la survenance de l’atteinte à la santé ? 17.    Mentionner, pour chaque diagnostic posé, les limitations fonctionnelles qu’il entraîne a)        dans l’activité habituelle, b)        dans une activité adaptée. 18.    Mentionner globalement les conséquences des divers diagnostics retenus sur la capacité de travail de l’assurée, en pourcent, a)      dans l’activité habituelle, b)      dans une activité adaptée. 19.    Dater la survenance de l’incapacité de travail durable, indiquer l'évolution de son taux et décrire son évolution. 20.    Évaluer la capacité de travail en pourcent dans une activité adaptée aux limitations fonctionnelles et indiquer depuis quand une telle activité est exigible et comment elle a évolué dans le temps. 21.    a) Dire s'il y a une diminution de rendement et la chiffrer. b) Si une diminution de rendement est retenue, celle-ci est-elle déjà incluse dans une éventuelle réduction de la capacité de travail ou vient-elle en sus ? 22.    Évaluer la possibilité d'améliorer la capacité de travail par des mesures médicales. Indiquer quelles seraient les propositions thérapeutiques et leur influence sur la capacité de travail. 23.    a) Êtes-vous d'accord avec les conclusions consensuelles de l’expertise du O_____ et celles du Dr M_____ (rapport d’expertise pluridisciplinaire du O_____ du 6 juillet 2023) ? Indiquer pour quelles raisons ces conclusions sont confirmées ou écartées. b) Commentez le rapport établi le 18 octobre 2024 par le Dr P_____ et préciser si l'évolution globale mentionnée par celui-ci « vers un syndrome de douleurs diffuses chroniques handicapant, conduisant à un état invalidant dans le ressenti exprimé par l'assurée », correspond à un trouble douloureux somatoforme persistant (F45.4). 24.    Indiquer si des mesures de réadaptation professionnelles sont envisageables. 25.    Formuler un pronostic global. 26.    Toute remarque utile et proposition des experts. 3.             Invite l’expert à faire une appréciation consensuelle du cas avec l’experte psychiatre, s’agissant de toutes les problématiques ayant des interférences entre elles, notamment l’appréciation de la capacité de travail résiduelle. 4.             Invite l’expert à déposer, dans les trois mois après réception de la mission d’expertise , un rapport en trois exemplaires à la chambre de céans. Expertise psychiatrique : 1.             Dit que la mission d’expertise sera la suivante : a)        prendre connaissance du dossier de la cause ; b)        si nécessaire, prendre tous renseignements auprès des médecins ayant traité l’assurée : c)        examiner et entendre l’assurée, après s’être entourés de tous les éléments utiles, au besoin  d’avis d’autres spécialistes ; d)        si nécessaire, ordonner d’autres examens. 2.             Charge l’expert d’établir un rapport détaillé et de répondre aux questions suivantes : 1.        Anamnèse détaillée. 2.        Plaintes et données subjectives de la personne. 3.        Status clinique et constatations objectives. 4.        Diagnostics selon la classification internationale. Précisez quels critères de classification sont remplis et de quelle manière (notamment l’étiologie et la pathogénèse). 5.        Quel est le degré de gravité de chacun des troubles diagnostiqués (faible, moyen, grave) ? 6.        Depuis quand les différentes atteintes sont-elles présentes ? 7.        Les plaintes sont-elles objectivées ? 8.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l’assurée). 9.        Dans quelle mesure des atteintes diagnostiquées ont elles limité les fonctions nécessaires à la gestion du quotidien depuis 1996 ? 10.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11.    Dans l’affirmative, considérez-vous que cela suffise à exclure une atteinte à la santé significative ? 12.    Quels ont été les traitements entrepris et avec quel succès (évolution et résultats des thérapies) ? 13.    L’assurée a-t-elle fait preuve de résistance à l’égard des traitements proposés ? La compliance est-elle bonne ? 14.    Dans quelle mesure les traitements ont-ils été mis à profit ou négligés ? 15.    Les troubles psychiques constatés nécessitent-ils une prise en charge spécialisée ? 16.    Existe-t-il un trouble de la personnalité ou, une altération des capacités inhérentes à la personnalité ? 17.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 18.    De quelles ressources mobilisables l’assurée dispose-t-elle ? 19.    Quel est le contexte social ? L’assurée peut-elle compter sur le soutien de ses proches ? 20.    Pour le cas où il y aurait refus ou mauvaise acceptation d’une thérapie recommandée et accessible : cette attitude doit-elle être attribuée à une incapacité de l’assurée à reconnaître sa maladie ? 21.    Dans l’ensemble, le comportement de l’assurée vous semble-t-il cohérent ? Pourquoi ? 22.    Les limitations du niveau d’activité sont-elles uniformes dans tous les domaines (professionnel mais aussi personnel) ? Quel est le niveau d’activité sociale et comment a-t-il évolué depuis la survenance de l’atteinte à la santé ? 23.    Mentionner, pour chaque diagnostic posé, les limitations fonctionnelles qu’il entraîne c)        dans l’activité habituelle, d)        dans une activité adaptée. 24.    Mentionner globalement les conséquences des divers diagnostics retenus sur la capacité de travail de l’assurée, en pourcent, c)      dans l’activité habituelle, d)      dans une activité adaptée. 25.    Dater la survenance de l’incapacité de travail durable, indiquer l'évolution de son taux et décrire son évolution. 26.    Évaluer la capacité de travail en pourcent dans une activité adaptée aux limitations fonctionnelles et indiquer depuis quand une telle activité est exigible et comment elle a évolué dans le temps. 27.    a) Dire s'il y a une diminution de rendement et la chiffrer. b) Si une diminution de rendement est retenue, celle-ci est-elle déjà incluse dans une éventuelle réduction de la capacité de travail ou vient-elle en sus ? 28.    Évaluer la possibilité d'améliorer la capacité de travail par des mesures médicales. Indiquer quelles seraient les propositions thérapeutiques et leur influence sur la capacité de travail. 29.    Êtes-vous d'accord avec les conclusions du Dr H_____ du 12 octobre 2022 ? pour quels motifs ? 30.    Êtes-vous d’accord avec le rapport du Dr N_____ (expertise pluridisciplinaire du O_____ du 6 juillet 2023) ? Pour quels motifs. En cas de réponse affirmative, conjointement avec l’appréciation de l’expert rhumatologue, confirmez-vous ou infirmez-vous le diagnostic de syndrome douloureux somatoforme persistant (F45.4), étant donné que le Dr N_____ n’a pas retenu d’état de détresse chez la recourante, ledit état de détresse étant considéré comme un des items sémiologiques requis pour poser ce diagnostic (p. 46 et 50 du rapport d’expertise du 6 juillet 2023) ? En cas de réponse négative, veuillez-vous prononcer sur l’état de détresse de la recourante. 31.    Indiquer si des mesures de réadaptation professionnelle sont envisageables. 32.    Formuler un pronostic global. 33.    Toute remarque utile et proposition des experts. 3.             Invite l’expert à faire une appréciation consensuelle du cas avec l’expert rhumatologue s’agissant de toutes les problématiques ayant des interférences entre elles, notamment l’appréciation de la capacité de travail résiduelle. 4.             Invite l’expert à déposer, dans les trois mois dès la réception de la mission d’expertise , un rapport en trois exemplaires à la chambre de céans. La greffière Janeth WEPF La présidente Catherine TAPPONNIER Une copie conforme de la présente ordonnance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