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A/72/2004 vom 13. Dezember 2004</w:t>
      </w:r>
    </w:p>
    <w:p>
      <w:r>
        <w:t>GE Cour de justice, 2004-12-13, FR</w:t>
      </w:r>
    </w:p>
    <w:p>
      <w:r>
        <w:rPr>
          <w:b/>
        </w:rPr>
        <w:t xml:space="preserve">Quelle: </w:t>
      </w:r>
      <w:r>
        <w:t>https://mcp.opencaselaw.ch/entscheid/ge_gerichte_A_72_2004</w:t>
      </w:r>
    </w:p>
    <w:p>
      <w:r>
        <w:t>FR: GE_GERICHTE A/72/2004 du 13 décembre 2004</w:t>
      </w:r>
    </w:p>
    <w:p>
      <w:r>
        <w:t>IT: GE_GERICHTE A/72/2004 del 13 dicembre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13.12.2004 A/72/2004</w:t>
      </w:r>
    </w:p>
    <w:p>
      <w:r>
        <w:t>A/72/2004 ATAS/1037/2004 du 13.12.2004 ( LPP ) RÉPUBLIQUE ET CANTON DE GENÈVE POUVOIR JUDICIAIRE A/72/2004-2-LPP ATAS/1037/2004 ORDONNANCE DU TRIBUNAL CANTONAL DES ASSURANCES SOCIALES 2ème chambre du lundi 13 décembre 2004 En la cause FONDATION INSTITUTION SUPPLETIVE LPP , avenue du Théâtre 1 à Lausanne, demanderesse contre CARROSSERIE K__________ SA défenderesse Vu la demande en paiement du 14 janvier 2004 ; Vu la réponse du 9 mars 2004, complétée par pli du 2 avril 2004 ; Vu les audiences de comparution des parties des 15 juin et 28 septembre 2004 ; Vu le courrier de la demanderesse du 7 décembre 2004, informant le Tribunal de ce que la faillite de la défenderesse a été prononcée selon jugement du Tribunal de première instance du 16 novembre 2004 ; Qu’au vu de ce qui précède, il se justifie de suspendre l’instruction de la cause selon l’art.78 let. c LPA ; Qu’en application de l’art. 79 LPA l’instruction sera reprise par la partie la plus diligente, mais en tout cas à l’échéance du délai d’un an dès le présent arrêt, d’office par le Tribunal. *** PAR CES MOTIFS, LE TRIBUNAL CANTONAL DES ASSURANCES SOCIALES : Suspend l’instruction de la cause en application de l’art. 78 let. c LPA. Dit que l’instruction sera reprise par demande de la partie la plus diligente, mais en tout cas à l’échéance du délai d’un an dès le présent arrêt, d’office par le Tribunal. Réserve la suite de la procédure. Le greffier: Pierre RIES La Présidente : Isabelle DUBOIS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