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A/728/2017 vom 21. September 2017</w:t>
      </w:r>
    </w:p>
    <w:p>
      <w:r>
        <w:t>GE Cour de justice, 2017-09-21, FR</w:t>
      </w:r>
    </w:p>
    <w:p>
      <w:r>
        <w:rPr>
          <w:b/>
        </w:rPr>
        <w:t xml:space="preserve">Quelle: </w:t>
      </w:r>
      <w:r>
        <w:t>https://mcp.opencaselaw.ch/entscheid/ge_gerichte_A_728_2017</w:t>
      </w:r>
    </w:p>
    <w:p>
      <w:r>
        <w:t>FR: GE_GERICHTE A/728/2017 du 21 septembre 2017</w:t>
      </w:r>
    </w:p>
    <w:p>
      <w:r>
        <w:t>IT: GE_GERICHTE A/728/2017 del 21 settembre 2017</w:t>
      </w:r>
    </w:p>
    <w:p>
      <w:pPr>
        <w:pStyle w:val="Heading2"/>
      </w:pPr>
      <w:r>
        <w:t>Erwägungen</w:t>
      </w:r>
    </w:p>
    <w:p>
      <w:r>
        <w:rPr>
          <w:b/>
        </w:rPr>
        <w:t>E. 3</w:t>
      </w:r>
    </w:p>
    <w:p>
      <w:r>
        <w:t>ème Chambre En la cause Monsieur A______, domicilié à GENÈVE recourant contre OFFICE DE L'ASSURANCE-INVALIDITÉ DU CANTON DE GENÈVE, sis rue des Gares 12, GENÈVE intimé EN FAIT 1.        Le 5 octobre 2015, Monsieur A______ (ci-après : l’assuré), né en 1980, a déposé une demande de prestations auprès de l’Office de l’assurance-invalidité du canton Genève (OAI) en invoquant une rhinosinusite chronique, des apnées du sommeil, une fatigue constante et un état dépressif.![endif]&gt;![if&gt; 2.        Son médecin traitant, le docteur B______, dans un rapport du 20 octobre 2015, a conclu à une capacité de travail de 50%, quelle que soit l’activité envisagée, en indiquant, à titre de limitations fonctionnelles, une fatigue et une somnolence. Le médecin a fait état d’un trouble d’apnées du sommeil, d’une dépendance au jeu, d’un tabagisme, d’une pancréatite en 2012 et d’un ancien alcoolisme. Il a expliqué que, depuis l’adolescence, son patient souffrait d’une fatigue importante qui l’avait empêché de suivre une scolarité normale, puis de conserver un travail.![endif]&gt;![if&gt; 3.        Dans un rapport ultérieur du 29 février 2016, le médecin a qualifié l’état de son patient de stationnaire et a préconisé un examen médical complémentaire pour évaluer les conséquences de l’atteinte à la santé sur la capacité de travail.![endif]&gt;![if&gt; 4.        Dans un rapport du 19 avril 2016, la doctoresse C______, spécialiste FMH en ophtalmologie, a conclu à l’absence de toute limitation fonctionnelle ayant une répercussion sur la capacité de travail.![endif]&gt;![if&gt; 5.        Le docteur D______, du service d’oto-rhino-laryngologie des Hôpitaux universitaires de Genève (HUG), a indiqué en date du 24 mai 2016 que l’intéressé ne souffrait d’aucune maladie justifiant un arrêt de travail. Le seul arrêt de travail prescrit l’avait été du 14 février au 2 mars 2014, pour des raisons de rétablissement post-opératoire (obstruction nasale). Des apnées obstructives du sommeil et une hypertrophie des amygdales ont été mentionnées, dont il a été précisé qu’elles étaient sans effet sur la capacité de travail.![endif]&gt;![if&gt; 6.        Le dossier de l’assuré a alors été soumis au service médical régional de l’AI (ci-après : SMR), qui a constaté que, sur le plan pneumologique, l’assuré souffrait d’un syndrome d’apnées du sommeil modéré depuis l’adolescence, diagnostiqué en 2012. Le SMR a relevé que l’assuré avait pu obtenir une maturité fédérale et suivre un premier cycle en sciences sociales à l’Université de Genève, ainsi qu’un cours d’ingénieur du son par la suite. Il avait subi une intervention pour remédier à une obstruction nasale sur déviation pour faciliter le port de l’appareil nécessaire au traitement des apnées du sommeil. Le caractère non incapacitant de l’apnée obstructive du sommeil avait été confirmé par le docteur F______, contacté par téléphone par le SMR.![endif]&gt;![if&gt; Dès lors, il n’existait aucune atteinte ayant une répercussion sur la capacité de travail et le port de l’appareil CPAP (Continuous Positive Airway Pressure) était exigible pour le traitement du syndrome d’apnées. 7.        Par décision du 3 février 2017, l’OAI a nié à l’assuré le droit à toute prestation.![endif]&gt;![if&gt; L’OAI a observé que l’assuré avait exercé différentes activités, au nombre desquelles celles d’ingénieur du son et de croupier. Il a admis comme vraisemblable que, sans atteinte à sa santé, l’assuré aurait exercé une activité lucrative à 100% pour subvenir à ses besoins et lui a dès lors reconnu le statut d’actif. Considérant les éléments médicaux et professionnels versés au dossier, l’OAI a estimé que l’atteinte à la santé n’avait aucune répercussion sur la capacité de travail de l’assuré au sens de la loi : sa capacité de travail demeurait complète à plein rendement dans toute activité, sans aucune limitation fonctionnelle objective. 8.        Par écriture du 1 er mars 2017, l’assuré a interjeté recours contre cette décision, dont il a produit une copie en annexe à son courrier. ![endif]&gt;![if&gt; Il lui reproche de se baser sur le fait qu’il aurait déjà exercé des activités à 100%, ce qu’il conteste. Il explique avoir volontairement enjolivé son curriculum vitae « en bouchant les trous et en mettant des activités à 100% alors qu’elles ne l’étaient pas ». En réalité, il n’a exercé l’activité de croupier que deux à six heures par jour, trois jours par semaine. Quant à celle d’ingénieur du son, il ne l’a exercée que de manière indépendante, pour des projets personnels, la plupart du temps non rémunérés. 9.        Invité à se déterminer, l’intimé, dans sa réponse du 28 mars 2017, a conclu à l’irrecevabilité du recours, subsidiairement à son rejet. ![endif]&gt;![if&gt; L’intimé allègue que le recours ne désigne pas la décision attaquée et qu’il se limite à indiquer que les taux d’activités mentionnés dans son curriculum vitae ne correspondent pas à la réalité. Il reproche à l’acte de recours de ne comporter aucun exposé - fût-ce succinct - des faits ou des motifs et aucune conclusion. Il en tire la conclusion que cet acte ne satisferait pas aux exigences minimales prescrites par la loi. Sur le fond, l’intimé remarque que le recourant n’invoque aucun fait précis susceptible de remettre en cause sa décision. En particulier, il ne produit aucun document médical à l’appui de sa position.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 délai légal (art. 56 à 60 LPGA), le recours est intervenu en temps utile. ![endif]&gt;![if&gt; Se pose en revanche la question de sa recevabilité quant à la forme, mise en doute par l’intimé. L’art. 61 let. b LPGA prévoir à cet égard que l'acte de recours doit contenir un exposé succinct des faits et des motifs invoqués, ainsi que les conclusions. Quant à l’art. 65 al. 1 et 2 de la loi sur la procédure administrative du 12 septembre 1985 (LPA-GE - E 5 10), il exige que l’acte de recours contienne la désignation de la décision attaquée et les conclusions du recourant, ainsi que l’exposé des motifs et l’indication des moyens de preuve. Ainsi que l’a encore récemment rappelé notre Haute Cour, dans un arrêt 8C_479/2016 du 2 août 2017, la règle de l'art. 61 let. b LPGA découle du principe de l'interdiction du formalisme excessif et constitue l'expression du principe de la simplicité de la procédure qui gouverne le droit des assurances sociales (arrêt 8C_828/2009 du 8 septembre 2010 consid. 6.2 et la référence ; cf. UELI KIESER, ATSG-Kommentar, 3 e éd. 2015, n° 84 ad art. 61 LPGA). C'est pourquoi le juge saisi d'un recours dans ce domaine ne doit pas se montrer trop strict lorsqu'il s'agit d'apprécier la forme et le contenu de l'acte de recours (ATF 134 V 162 consid. 2 p. 163 s. ; 112 Ib 634 consid. 2b p. 635 ; 107 V 244 consid. 2 p. 245 ; 104 V 178 ). En l’espèce, l’assuré, dans son courrier du 1 er mars 2017 à la juridiction de céans, n’a certes pas désigné expressément la décision du 3 février 2017 mais il a joint celle-ci à son recours et a indiqué littéralement « j’aimerais faire recours à la décision de non droit à l’AI » (sic). Sa volonté de recourir contre la décision en question ne fait donc aucun doute. Quant aux conclusions, implicites, elles visent manifestement à obtenir l’annulation de la décision visée. Dans la suite de son courrier, il motive sa position en expliquant qu’il reproche à l’intimé de s’être basé sur le fait qu’il aurait déjà exercé des activités à 100%, ce qu’il conteste et explique à cet égard que son curriculum vitae ne peut faire foi car il l’a volontairement enjolivé. Force est donc de constater qu’il existe bel et bien une motivation, même succincte. Peu importe à ce stade de savoir si elle est fondée ou non. Dans ces circonstances, il y a lieu de déclarer le recours recevable également quant à la forme. 4.        Est litigieuse quant au fond la question de savoir si les atteintes à la santé du recourant entraînent une perte de gain susceptible de lui ouvrir droit à des prestations de l’assurance-invalidité.![endif]&gt;![if&gt;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En l’espèce, force est de constater que le médecin traitant est le seul à évoquer une éventuelle incapacité partielle de travail, qu’il motive par la fatigue et la somnolence dont se plaint son patient. Celles-ci sont la conséquence du syndrome d’apnées du sommeil objectivé et non contesté. Le spécialiste en charge de ce trouble particulier, le Dr D______, a cependant quant à lui clairement infirmé toute influence sur la capacité de travail de l’assuré, tout comme le Dr F______. ![endif]&gt;![if&gt; Quant aux allégations du médecin traitant selon lesquelles l’atteinte en question aurait empêché son patient de poursuivre une scolarité normale, elles sont infirmées par les faits - l'intéressé ayant obtenu une maturité fédérale - et, quoi qu’il en soit, plus à l’ordre du jour puisque, depuis lors, l’assuré a subi une intervention devant lui faciliter le port de l’appareil CPAP destiné au traitement de l’atteinte en question. Le caractère non incapacitant de l’apnée obstructive du sommeil ne fait donc aucun doute au vu des documents médicaux versés au dossier et le recourant ne produit à cet égard aucun élément médical objectif permettant de s’écarter de ces conclusions. Quant au fait qu’il ait ou non exercé des activités à plein temps, il est dénué de pertinence pour juger de la capacité de travail, étant rappelé que le juge ne saurait se fonder simplement sur le travail que l'assuré a fourni ou s'estime lui-même capable de fournir. Eu égard aux considérations qui précèdent, il apparaît que l’intimé était fondé à conclure à l’absence de toute atteinte à la santé invalidante et à nier au recourant le droit à toute prestation. Le recours est donc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