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A/723/2025 vom 18. Dezember 2025</w:t>
      </w:r>
    </w:p>
    <w:p>
      <w:r>
        <w:t>GE Cour de justice, 2025-12-18, FR</w:t>
      </w:r>
    </w:p>
    <w:p>
      <w:r>
        <w:rPr>
          <w:b/>
        </w:rPr>
        <w:t xml:space="preserve">Quelle: </w:t>
      </w:r>
      <w:r>
        <w:t>https://mcp.opencaselaw.ch/entscheid/ge_gerichte_A_723_2025</w:t>
      </w:r>
    </w:p>
    <w:p>
      <w:r>
        <w:t>FR: GE_GERICHTE A/723/2025 du 18 décembre 2025</w:t>
      </w:r>
    </w:p>
    <w:p>
      <w:r>
        <w:t>IT: GE_GERICHTE A/723/2025 del 18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trente jours (art. 56 LPGA ; art. 62 al. 1 de la loi sur la procédure administrative du 12 septembre 1985 - LPA - E 5 10). Interjeté dans la forme et le délai prévus par la loi, le recours est recevable (art. 56 LPGA ; art. 62 al. 1 LPA).</w:t>
      </w:r>
    </w:p>
    <w:p>
      <w:r>
        <w:rPr>
          <w:b/>
        </w:rPr>
        <w:t>E. 2</w:t>
      </w:r>
    </w:p>
    <w:p>
      <w:r>
        <w:t>À titre liminaire, il sied de circonscrire le litige.</w:t>
      </w:r>
    </w:p>
    <w:p>
      <w:r>
        <w:rPr>
          <w:b/>
        </w:rPr>
        <w:t>E. 2.1.1</w:t>
      </w:r>
    </w:p>
    <w:p>
      <w:r>
        <w:t>L'assurance-accidents statuant sur opposition est tenue de prendre en considération toutes les faits pertinents survenus jusqu'au moment de la décision sur opposition.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mais elle peut aussi contribuer au traitement de l'opposition dans un délai approprié ( cf . art. 52 al. 2 LPGA).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U 16/07 du 9 mai 2007 consid. 3.2 et les références citées).</w:t>
      </w:r>
    </w:p>
    <w:p>
      <w:r>
        <w:rPr>
          <w:b/>
        </w:rPr>
        <w:t>E. 2.1.2</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w:t>
      </w:r>
    </w:p>
    <w:p>
      <w:r>
        <w:rPr>
          <w:b/>
        </w:rPr>
        <w:t>E. 2.2</w:t>
      </w:r>
    </w:p>
    <w:p>
      <w:r>
        <w:t>Dans le cas présent, le recourant a été victime de plusieurs accidents : -          Le 14 janvier 2014, il a chuté dans un escalier et s’est blessé à l’épaule droite. Le diagnostic de tendinopathie du long chef du biceps de l’épaule droite a été posé. Pour le médecin d’arrondissement de l’intimée, l’ancienne activité de parqueteur n’était plus exigible. En revanche, la capacité de travail du recourant était entière dans une activité adaptée aux limitations fonctionnelles énoncées. Après avoir procédé à une comparaison des revenus (abattement de 5%), l’intimée a accordé au recourant une rente d’invalidité de 12% en raison de l’atteinte à l’épaule. -          Le 7 janvier 2017, le recourant a chuté à son domicile et s’est blessé au genou droit. L’intimée lui a nié le droit à toute prestation, considérant qu’il n’existait aucun lien de causalité entre l’événement assuré et les troubles annoncés ( cf . décision du 3 janvier 2018). -          Le 29 juin 2021 l’assuré a glissé dans son jardin et a chuté, ce qui a entraîné la rupture complète proximale des tendons ischio-jambiers à gauche, laquelle a été opérée le 2 juillet 2021. Pour le médecin-conseil, la capacité de travail était toujours entière dans une activité adaptée, étant précisé que des limitations fonctionnelles supplémentaires ont été retenues en lien avec l’atteinte aux tendons ischio-jambiers ( cf . appréciation du 19 juin 2024). Après avoir procédé à une comparaison des revenus, la Suva a, par décision du 21 août 2024, confirmée sur opposition le 31 janvier 2025, maintenu le droit du recourant à une rente d’invalidité de 12%, considérant qu’il n’éprouvait pas d’incapacité de gain supérieure à ce taux, l’abattement de 5% ne pouvant être porté à 10%. C’est contre cette décision sur opposition qu’est dirigé le recours dont a à connaître la chambre de céans dans la présente procédure. -          Le 30 août 2023, l’assuré, en descendant d'une échelle, a manqué une marche et a ressenti une douleur au genou droit. La Suva a alloué des prestations pour cet accident avant d’y mettre un terme avec effet immédiat, par décision du 16 juillet 2024, confirmée sur opposition le 5 novembre 2024, considérant que l'accident du 30 août 2023 n'était pas susceptible de déployer des effets au-delà d'un mois. Cette décision sur opposition fait l’objet d’un autre recours actuellement pendant auprès de la chambre de céans (A/4106/2024). Il ressort de ce qui précède que l’intimée a choisi d’examiner les conséquences des accidents des 29 juin 2021 et 30 août 2023 sur la capacité de travail dans deux décisions séparées, lesquelles ont fait l’objet de deux décisions sur opposition et de deux recours auprès de la chambre de céans (décision sur opposition du 5 novembre 2024 [atteinte au genou] : cause A/4106/2024 ; décision sur opposition du 31 janvier 2025 [atteinte aux tendons ischio-jambiers] : présente cause). Cette manière de procéder est admise par la jurisprudence. En revanche, tel n’est pas le cas en ce qui concerne l’indemnité pour atteinte à l’intégrité réclamée par le recourant en raison des atteintes à l’épaule, aux tendons ischio-jambiers et au genou, et refusée par l’intimée dans sa décision sur opposition du 31 janvier 2025. En effet, à cette date, le recours contre la décision sur opposition du 5 novembre 2024 relative à la prise en charge des suites de l’accident du 30 août 2023, était pendant par-devant la chambre de céans, l’origine maladive de l’atteinte au genou étant contestée par le recourant. Dans une telle situation, l’intimée ne pouvait pas trancher la question de l’indemnité pour atteinte à l’intégrité, laquelle doit être fixée d’après l’ensemble du dommage (art. 36 al. 3 de l’ordonnance sur l'assurance-accidents du 20 décembre 1982 (OLAA - RS 832.202), en niant le caractère accidentel de l’une des atteintes à prendre en considération, alors que cette question faisait l’objet d’un recours pendant par-devant la chambre de céans. Par conséquent, la décision sur opposition querellée doit être annulée en tant qu’elle confirme le refus de l’intimée d’accorder une indemnité pour atteinte à l’intégrité et la cause doit être renvoyée à l’intimée pour nouvelle décision sur cette question, une fois que l’arrêt de la chambre de céans aura rendu dans la cause A/4106/2024 sera entré en force, étant encore précisé que cette nouvelle décision devra être motivée et se fonder sur des appréciations médicales circonstanciées sur la question, une phrase du type « il n’y a pas à envisager d’IPAI concernant les seules suites de l’événement du 29.06.2021 » ( cf. appréciation de la Dre C______ du 19 juin 2024) étant insuffisante. Eu égard à ce qui précède, il y a lieu de retenir que la seule question qui reste à trancher dans la présente cause est celle de savoir si l'intimée était fondée à maintenir, malgré la rupture complète proximale des tendons ischio-jambiers survenue le 29 juin 2021, un taux d'invalidité de 12%, dans le cadre de la procédure de révision, la question des conséquences de l’accident du 30 août 2023 sur la capacité de gain du recourant faisant l’objet de la procédure A/4106/2024.</w:t>
      </w:r>
    </w:p>
    <w:p>
      <w:r>
        <w:rPr>
          <w:b/>
        </w:rPr>
        <w:t>E. 3.1</w:t>
      </w:r>
    </w:p>
    <w:p>
      <w:r>
        <w:t>Selon l'art.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 Dans sa teneur en vigueur depuis le 1 er janvier 2022, l'art. 17 al. 1 LPGA prévoit que la rente d’invalidité est, d’office ou sur demande, révisée pour l’avenir, à savoir augmentée, réduite ou supprimée, lorsque le taux d’invalidité de l’assuré : subit une modification d’au moins 5 points de pourcentage (let. a) ou atteint 100% (let. b). Le point de savoir si l’on applique cette disposition dans sa nouvelle teneur n’a pas de portée pratique pour l’issue du litige. En effet, en tant qu’elle prévoit que la modification du taux d’invalidité doit atteindre « au moins 5 points de pourcentage » et ne pas simplement être « notable » ( cf. art. 17 al. 1 LPGA dans sa teneur en vigueur jusqu’au 31 décembre 2021), la nouvelle formulation de cette disposition ne modifie pas les conditions de la révision d’une rente LAA, déjà précisées par la jurisprudence sous l’ancien droit : si le taux d’invalidité du bénéficiaire de la rente subit une modification notable, la rente est, d’office ou sur demande, révisée pour l'avenir, à savoir augmentée ou réduite en conséquence, ou encore supprimée (art. 17 al. 1 LPGA).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144 I 103 consid. 2.1). En matière d’assurance‑accidents et d’assurance-militaire, la modification des circonstances est considérée comme notable lorsque le degré d'invalidité diffère d’au moins 5% (ATF 145 V 141 consid. 7.3.1 ; 140 V 85 consid. 4.3 ; arrêt du Tribunal fédéral 8C_671/2020 du 14 avril 2021 consid. 3.1).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Sont susceptibles de faire l'objet d'une nouvelle évaluation, éventuellement divergente, les aspects qui font l'objet d'une hypothèse, par exemple les revenus sans et avec invalidité et les hypothèses qui les sous-tendent, l'état de santé ou la capacité de travail. La base de comparaison déterminante dans le temps pour l'examen d'une modification du taux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(arrêt du Tribunal fédéral 8C_240/2023 du 14 mars 2024 consid. 7.1.2 et les références).</w:t>
      </w:r>
    </w:p>
    <w:p>
      <w:r>
        <w:rPr>
          <w:b/>
        </w:rPr>
        <w:t>E. 3.2</w:t>
      </w:r>
    </w:p>
    <w:p>
      <w:r>
        <w:t>Si l'assuré est invalide (art. 8 LPGA) à 10% au moins par suite d’un accident, il a droit à une rente d'invalidité, pour autant que l’accident soit survenu avant l’âge ordinaire de la retraite (art. 18 al. 1 LAA, dans sa teneur en vigueur à compter du 1 er janvier 2017).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méthode ordinaire de la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3.3.1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w:t>
      </w:r>
    </w:p>
    <w:p>
      <w:r>
        <w:rPr>
          <w:b/>
        </w:rPr>
        <w:t>E. 3.3.2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 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arrêts du Tribunal fédéral 9C_603/2015 du 25 avril 2016 consid. 8.1 ; 9C_242/2012 du 13 août 2012 consid. 3). Il convient de se référer à la version de l'ESS publiée au moment déterminant de la décision querellée (ATF 143 V 295 consid. 4 ; arrêt du Tribunal fédéral 8C_655/2016 du 4 août 2017 consid. 6.3). Depuis la 10 e édition des ESS (ESS 2012), les emplois sont classés par l'Office fédéral de la statistique (ci-après :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 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3.3.3</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126 V 75 consid. 5b/bb et les références ; arrêt du Tribunal fédéral 8C_608/2021 du 26 avril 2022 consid. 3.3 et les références).</w:t>
      </w:r>
    </w:p>
    <w:p>
      <w:r>
        <w:rPr>
          <w:b/>
        </w:rPr>
        <w:t>E. 3.3.4</w:t>
      </w:r>
    </w:p>
    <w:p>
      <w:r>
        <w:t>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4.1</w:t>
      </w:r>
    </w:p>
    <w:p>
      <w:r>
        <w:t>Dans le cas d’espèce, il est admis par les parties que suite à l’accident du 29 juin 2021, le recourant a vu son état de santé s’aggraver, avec une atteinte supplémentaire aux membres inférieurs (rupture des tendons ischio-jambiers à gauche), de sorte qu’au jour de la décision sur opposition litigieuse, le recourant présentait les limitations fonctionnelles suivantes : -          En raison de l’atteinte à l’épaule : port de charges limité à 20 kg essentiellement du côté gauche, pas de mouvements de rotation répétés au niveau de l’épaule (appréciation du 4 juillet 2016 du Dr B______). -          En raison de la rupture des tendons ischio-jambiers : pas d’activités répétitives ou prolongées accroupies, de montée et descente des escaliers de manière répétitive (appréciation de la Dre C______ du 19 juin 2024). Vu les nouvelles limitations fonctionnelles, le recourant a pu rendre vraisemblable une aggravation de son état de santé, de sorte qu’il convient désormais d’examiner, à nouveau, son droit à la rente sous tous ses aspects factuels et juridique. Les parties s’opposent sur l’abattement à appliquer au revenu avec invalidité et sur le montant du revenu sans invalidité à retenir pour la comparaison des revenus.</w:t>
      </w:r>
    </w:p>
    <w:p>
      <w:r>
        <w:rPr>
          <w:b/>
        </w:rPr>
        <w:t>E. 4.2</w:t>
      </w:r>
    </w:p>
    <w:p>
      <w:r>
        <w:t>Le recourant critique tout d’abord l’abattement de 5% appliqué par l’intimée au revenu avec invalidité, considérant que celui aurait dû être de 10% au vu de précédents arrêts de la chambre de céans ( cf. ATAS/603/2023 du 14 août 2023, ATAS/458/2023 du 20 juin 2023 et ATAS/194/2021 du 10 mars 2021). De son côté, l’intimée estime, en se référant à l’arrêt du Tribunal fédéral 8C_580/2022 du 31 mars 2023, que les limitations fonctionnelles supplémentaires induites par l’atteinte aux tendons ischio-jambiers ne justifient pas un abattement de 10%. Force est de constater que les arrêts auxquels le recourant se réfère pour requérir une augmentation de l’abattement de 5% à 10% concernent des cas, dans lesquels l’assuré présentait des limitations fonctionnelles plus importantes que celles du recourant, que ce soit en termes de port de charges, d’aptitude à maintenir la position statique ou de durée ou périmètre de marche. En effet, dans l’ ATAS/603/2023 du 14 août 2023, le port de charges supérieures à 10-15 kg était à éviter, tout comme la marche prolongée ou encore les activités en position debout prolongée, limitations fonctionnelles qui ne se retrouvent pas dans le cas d’espèce, ou du moins de manière moins importante. Dans l’ ATAS/458/2023 du 20 juin 2023, le port de charges était limité à 5 kg de manière fréquente et non à 20 kg comme en l’espèce. De plus, l’assuré devait éviter de marcher plus de 30 minutes, de rester debout plus de 15 minutes ou assis plus d’une heure à une heure et demie, limitations fonctionnelles non retenues dans le cas présent. Enfin, dans l’ ATAS/194/2021 du 10 mars 2021, l’assuré devait éviter les positions à genoux et accroupi, les longs déplacements surtout sur terrains irréguliers et en pente, les montées/descentes de façon répétitive des escaliers et des échelles et le port de charges lourdes. Or, dans le cas présent, il n’y a aucune limitation quant aux déplacements. En réalité, le recourant se retrouve dans une situation similaire à celle ayant fait l’objet de l’arrêt du Tribunal fédéral 8C_580/2022 du 31 mars 2023 cité par l’intimée. En effet, dans cet arrêt, notre Haute Cour a considéré qu’au regard des nombreuses activités que recouvrent les secteurs de la production et des services, un nombre suffisant d'entre elles correspondent à des travaux respectant les limitations fonctionnelles retenues (pas de port de charges supérieures à 20 kg, pas de port répété de charges supérieures à 10 kg, pas de travail avec le membre supérieur gauche au-dessus du plan du thorax avec de façon idéale le coude et l'avant-bras gauche reposant sur un support, pas de mouvement de rotation répété du membre supérieur gauche, pas marche en terrain irrégulier, pas déplacement prolongé, pas d’utilisation d'échelles, pas de travail sur les toits ou les échafaudages et pas travail en position accroupie ou à genoux), lesquelles n'entravent pas l'usage par l’assuré de ses mains et ne l'empêchent pas de se tenir debout, de se déplacer et d'être en position assise. Or, lorsqu'un nombre suffisant d'activités correspondent à des travaux respectant les limitations fonctionnelles de l'assuré, une déduction supplémentaire sur le salaire statistique ne se justifie en principe pas pour tenir compte des circonstances liées au handicap, de sorte qu’aucun motif ne permet d’augmenter l’abattement à 10% dans le cas d’espèce. Pour le surplus, le revenu avec invalidité de CHF 66'365.55, arrondi à CHF 66'366.-, n’est pas contesté par le recourant</w:t>
      </w:r>
    </w:p>
    <w:p>
      <w:r>
        <w:rPr>
          <w:b/>
        </w:rPr>
        <w:t>E. 4.3</w:t>
      </w:r>
    </w:p>
    <w:p>
      <w:r>
        <w:t>Le recourant conclut également à la prise en considération du montant de CHF 6'436.- par mois à titre de revenu sans invalidité. Ce revenu correspond en réalité au revenu moyen réalisé par un homme dans le domaine de la construction dans le secteur privé et le secteur public ensemble (table T1_tirage_ skill_level ). En tant que revenu moyen, un tel revenu regroupe ceux réalisés par l’ensemble des professions du secteur de la construction, y compris des métiers spécialisés, ce qui ne correspond de toute évidence pas au recourant. Partant, c’est à juste titre que l’intimée n’a pas retenu le revenu invoqué par le recourant. On peut, en revanche, se demander si l’intimée n’aurait pas dû prendre en considération un niveau de compétence 2. En effet, le niveau de compétence 1 retenu par l’intimée dans la comparaison des revenus correspond aux tâches physiques ou manuelles simples, et, partant, aux professions élémentaires, telles que les aides de ménage, les manœuvres de l’agriculture, du bâtiment, des travaux publics ainsi que les assistant(e)s de fabrication de l’alimentation. Certes, en tant que parqueteur indépendant, le recourant exerçait des tâches pratiques. Cependant, en tant qu’indépendant, travaillant seul dans son entreprise, il s’occupait vraisemblablement également de l’administratif, comme l’établissement des devis ou la facturation, qui sont des tâches allant au-delà des tâches physiques ou manuelles simples, de sorte qu’on peut se demander si ce n’est pas un niveau de compétence 2 qui aurait dû être retenu. Cette question peut toutefois rester ouverte, dès lors que même avec le salaire afférent au niveau de compétence 2, soit un salaire de CHF 6'160.- par mois ou CHF 73'920.- par année, la demande de révision devrait être rejetée. En effet, dans un tel cas, il aurait fallu adapter le salaire, dès lors que les salaires bruts standardisés sont calculés sur la base d'un horaire de travail de 40 heures, soit d'une durée hebdomadaire inférieure à la moyenne dans le domaine des travaux de construction spécialisés en 2022 (41.1 heures). Ainsi, au jour de la demande de révision, le salaire mensuel brut du recourant se serait élevé à CHF 6'422.-, soit un salaire annuel brut de CHF 77'064.-. Or, en procédant à la comparaison des revenus, on arrive à un degré d’invalidité de 14% ([77'064 – 66'366] : 77'064 x 100 = 13.88 %, arrondi au nombre entier le plus proche qui est 14%). Toutefois, étant donné que la modification est inférieure aux 5% requis (ATF 145 V 141 consid. 7.3.1 notamment et consid. 3.1 supra ), l’intimée n’avait pas à réviser la rente octroyée au recourant, de sorte que la décision sur opposition doit être confirmée sur ce point.</w:t>
      </w:r>
    </w:p>
    <w:p>
      <w:r>
        <w:rPr>
          <w:b/>
        </w:rPr>
        <w:t>E. 5</w:t>
      </w:r>
    </w:p>
    <w:p>
      <w:r>
        <w:t>Au vu de ce qui précède, le recours sera partiellement admis et la décision sur opposition du 31 janvier 2025 annulée en tant qu’elle se prononce sur l’indemnité pour atteinte à l’intégrité. Elle sera confirmée pour le surplus. La cause sera renvoyée à l’intimée pour instruction complémentaire et nouvelle décision sur la question de l’indemnité pour atteinte à l’intégrité, une fois l’arrêt de la chambre de céans rendu dans la cause A/4106/2024 entré en force, étant encore précisé que la nouvelle décision devra être motivée et fondée sur des appréciations médicales circonstanciées.</w:t>
      </w:r>
    </w:p>
    <w:p>
      <w:r>
        <w:rPr>
          <w:b/>
        </w:rPr>
        <w:t>E. 6</w:t>
      </w:r>
    </w:p>
    <w:p>
      <w:r>
        <w:t>Le recourant obtenant partiellement gain de cause et étant assistée d’un conseil, il a droit à des dépens qui seront fixés à CHF 1'500.- (art. 61 let. g LPGA).</w:t>
      </w:r>
    </w:p>
    <w:p>
      <w:r>
        <w:rPr>
          <w:b/>
        </w:rPr>
        <w:t>E. 7</w:t>
      </w:r>
    </w:p>
    <w:p>
      <w:r>
        <w:t>Pour le surplus, 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