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A/720/2018 vom 29. Mai 2018</w:t>
      </w:r>
    </w:p>
    <w:p>
      <w:r>
        <w:t>GE Cour de justice, 2018-05-29, FR</w:t>
      </w:r>
    </w:p>
    <w:p>
      <w:r>
        <w:rPr>
          <w:b/>
        </w:rPr>
        <w:t xml:space="preserve">Quelle: </w:t>
      </w:r>
      <w:r>
        <w:t>https://mcp.opencaselaw.ch/entscheid/ge_gerichte_A_720_2018</w:t>
      </w:r>
    </w:p>
    <w:p>
      <w:r>
        <w:t>FR: GE_GERICHTE A/720/2018 du 29 mai 2018</w:t>
      </w:r>
    </w:p>
    <w:p>
      <w:r>
        <w:t>IT: GE_GERICHTE A/720/2018 del 29 maggio 2018</w:t>
      </w:r>
    </w:p>
    <w:p>
      <w:pPr>
        <w:pStyle w:val="Heading2"/>
      </w:pPr>
      <w:r>
        <w:t>Erwägungen</w:t>
      </w:r>
    </w:p>
    <w:p>
      <w:r>
        <w:rPr>
          <w:b/>
        </w:rPr>
        <w:t>E. 2</w:t>
      </w:r>
    </w:p>
    <w:p>
      <w:r>
        <w:t>Les enfants non genevois domiciliés hors canton peuvent être scolarisés très exceptionnellement à Genève, selon les termes fixés par la convention intercantonale réglant la fréquentation d'une école située dans un autre canton que celui de domicile.</w:t>
      </w:r>
    </w:p>
    <w:p>
      <w:r>
        <w:rPr>
          <w:b/>
        </w:rPr>
        <w:t>E. 3</w:t>
      </w:r>
    </w:p>
    <w:p>
      <w:r>
        <w:t>La demande d’admission au sens de l’alinéa 1 doit être déposée auprès de la direction générale de l’enseignement obligatoire dans le délai fixé chaque année par le département et publié sur le site Internet de ce dernier » . Cette teneur reprend celle de l’art. 23 en vigueur jusqu’au 14 février 2018. Une disposition transitoire prévoit en outre que « les enfants domiciliés hors canton et scolarisés dans l'enseignement primaire public genevois pendant l'année scolaire 2018-2019 peuvent poursuivre leur scolarisation au sein de celui-ci, pour autant qu'ils remplissent, sans interruption, les conditions prévues à l'article 23A. » (art. 75 REP). En l’espèce, les demandes d’admission pour l’année scolaire ont été adressées à l’autorité compétente le 19 janvier 2018. Elles tombaient alors sous le coup de l’art. 23 aREP. Compte tenu de la teneur identique de ce dernier article à celle de de l’art. 23A REP et du texte de la disposition transitoire, le cas peut être tranché dans le cadre du droit actuel. 3) Il n’est pas contesté que la demande d’admission en cause a été présentée dans le délai fixé par le DIP, publié sur son site internet, échéant le 31 janvier 2018. ![endif]&gt;![if&gt; 4) Il ressort des écritures du DIP que jusque dans le courant du mois de janvier 2018, la pratique était d’accepter toutes les demandes d’admission dans l’enseignement obligatoire genevois d’élèves remplissant les critères scolaires qui étaient domiciliés hors canton, cela sans qu’il y ait une limite de places disponibles. Cette pratique a été appliquée aux 280 demandes déjà traitées pour la rentrée scolaire 2018-2019. Le refus de la demande d’admission de la fille des recourants en raison du seul manque de places disponibles, intervenu en cours du processus d’admission pour la rentrée 2018, constitue ainsi un changement de la pratique administrative.![endif]&gt;![if&gt; a. La notion de pratique administrative désigne en effet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 ATA/596/2015 du 9 juin 2015 consid. 7d et les références citées). b.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135 I 79 consid. 3 ; 132 III 770 consid. 4 ; 127 I 49 consid. 3c ; 127 II 289 consid. 3a ; ATA/596/2015 déjà cité). c. Le droit à la protection de la bonne foi doit en outre être pris en considération. Valant pour l’ensemble de l’activité étatique, le principe de la bonne foi, exprime aux art. 9 et 5 al. 3 Cst. exige que l’administration et les administrés se comportent réciproquement de manière loyale. En particulier, l’administration doit s’abstenir de toute attitude propre a tromper l’administre et elle ne saurait tirer aucun avantage des conséquences d’une incorrection ou insuffisance de sa part (ATF 138 I 49 consid. 8.3 ; 129 I 161 consid. 4 ; 129 II 361 consid. 7.1 ; arrêt du Tribunal fédéral 1C_18/2015 du 22 mai 2015 consid. 3). Il protège le citoyen dans la confiance légitime qu’il met dans les assurances reçues des autorités lorsqu'il a règle sa conduite d'après des décisions, des déclarations ou un comportement déterminé de l'administration (ATF 137 II 182 consid. 3.6.2 ; 137 I 69 consid. 2.5.1). La protection de la bonne foi ne s’applique pas si l’intéressé connaissait l’inexactitude de l’indication ou aurait pu la connaître en consultant simplement les dispositions légales pertinentes (ATF 135 III 489 consid. 4.4 ; 134 I 199 consid. 1.3.1). En matière de changement de pratique, le Tribunal fédéral a ainsi jugé que la modification d’une jurisprudence relative aux conditions de recevabilité d’un recours ne doit pas intervenir sans avertissement, si elle provoque la péremption d’un droit (ATF 140 IV 74 consid. 4.2). d. En l’espèce, le changement de pratique trouve son origine dans la volonté du Conseil d’État d’appliquer strictement l’admission des élèves domiciliés hors canton dans la seule mesure des places budgétairement disponibles, exprimée dans le PFQ 2018-2021 de novembre 2017 et réaffirmée courant janvier 2018. Cette position a dissuadé le DIP de procéder comme il le faisait jusqu’alors et de solliciter du gouvernement qu’il demande au Grand Conseil un crédit supplémentaire pour financer l’écart positif de 194 pour la rentrée 2018 apparu entre la première estimation publiée par le SRED en janvier 2017 et la seconde parue en janvier 2018. S’il n’est pas douteux que le motif à l’origine du changement de pratique soit sérieux et objectif, il est difficile de comprendre pour quelle raison il est intervenu en cours du processus d’admission pour la rentrée scolaire 2018, alors que 280 demandes d’admission d’élèves domiciliés hors canton avaient déjà été acceptées selon la pratique alors usuelle. Au vu des statistiques du SRED pour les années antérieures, il n’était en effet pas inattendu d’avoir un écart positif entre les estimations de janvier 2017 et celles de janvier 2018. Par ailleurs, la volonté du Conseil d’État était connue officiellement depuis novembre 2017, sans que sa formulation puisse permettre à des tiers de connaître les modalités d’application. Dès lors que pour concrétiser cette volonté, le DIP a choisi de renoncer à demander par la voie budgétaire les ressources nécessaires au financement de la création de places supplémentaires, il ne pouvait laisser se dérouler le processus d’admission pour la rentrée 2018 comme il le faisait depuis des années, sans mise en garde particulière pour les administrés appelés à prendre des dispositions importantes pour la scolarisation de leurs enfants, alors qu’il savait que sa pratique changerait. Au lieu de cela, il a donné une réponse favorable, selon la pratique en vigueur, aux premières demandes arrivées et a interrompu abruptement le processus pour celles présentées plus tard, mais néanmoins dans le délai qu’il avait imparti, et leur a donné une réponse négative sans autre examen, en invoquant pour la première fois l’absence de places disponibles. Les administrés intéressés n’ont pas pu anticiper une telle situation, d’autant plus difficile à appréhender que la distinction entre place disponible au sens budgétaire et place disponible au sens commun n’est pas notoire. Dans ces circonstances, le changement de pratique ne pouvait être appliqué immédiatement aux demandes pendantes pour l’admission d’un enfant à la rentrée 2018-2019, dont celle des intéressés. 5) Au vu de ce qui précède, le recours sera admis et la décision querellée sera annulée. Le dossier sera retourné au DIP pour nouvelle décision conforme à la pratique en matière d’admission dans l’école obligatoire genevoise d’enfants domiciliés hors canton, telle qu’elle était en vigueur avant que le DIP renonce à demander au Conseil d’État de saisir le Grand Conseil d’une demande de crédit supplémentaire pour financer les places supplémentaires nécessaires pour la rentrée 2018-2019 selon la dernière estimation du SRED.![endif]&gt;![if&gt; 6) Cette solution emporte que demeureront indécises les autres questions de droit soulevées par les recourants, en particulier de la portée des art. 23 et 23A REP en regard du droit constitutionnel à un enseignement de base suffisant, ouvert à tous les enfants, obligatoire, et gratuit dans les écoles publiques (art. 19 et 62 al. 2 de la Constitution fédérale de la Confédération suisse du 18 avril 1999 - RS 101 ; art. 24 al. 2 de la Constitution de la République et canton de Genève du 14 octobre 2012 - A 2 00) et de l’ALCP. ![endif]&gt;![if&gt; 7) Aucun émolument ne sera perçu malgré l’issue du litige (art. 87 al. 1 LPA). Une indemnité de procédure de CHF 1'000.- sera allouée aux recourants, qui ont été assistés par un avocat (art. 87 al. 2 LPA), à la charge de l’État de Genève.![endif]&gt;![if&gt;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