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A/720/2009 vom 30. Juni 2009</w:t>
      </w:r>
    </w:p>
    <w:p>
      <w:r>
        <w:t>GE Cour de justice, 2009-06-30, FR</w:t>
      </w:r>
    </w:p>
    <w:p>
      <w:r>
        <w:rPr>
          <w:b/>
        </w:rPr>
        <w:t xml:space="preserve">Quelle: </w:t>
      </w:r>
      <w:r>
        <w:t>https://mcp.opencaselaw.ch/entscheid/ge_gerichte_A_720_2009</w:t>
      </w:r>
    </w:p>
    <w:p>
      <w:r>
        <w:t>FR: GE_GERICHTE A/720/2009 du 30 juin 2009</w:t>
      </w:r>
    </w:p>
    <w:p>
      <w:r>
        <w:t>IT: GE_GERICHTE A/720/2009 del 30 giugno 2009</w:t>
      </w:r>
    </w:p>
    <w:p>
      <w:pPr>
        <w:pStyle w:val="Heading2"/>
      </w:pPr>
      <w:r>
        <w:t>Erwägungen</w:t>
      </w:r>
    </w:p>
    <w:p>
      <w:r>
        <w:rPr>
          <w:b/>
        </w:rPr>
        <w:t>E. 2</w:t>
      </w:r>
    </w:p>
    <w:p>
      <w:r>
        <w:t>Les dépenses reconnues et les revenus déterminants des conjoints et des personnes qui ont des enfants ayant droit à une rente d’orphelin ou donnant droit à une rente pour enfant de l’AVS ou de l’AI sont additionnés. Il en va de même pour des orphelins faisant ménage commun. L'art. 11 al. 1 LPC précise que : 1 Les revenus déterminants comprennent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25 000 francs pour les personnes seules, 40 000 francs pour les couples et 15 000 francs pour les enfants ayant droit à une rente d’orphelin ou donnant droit à une rente pour enfant de l’AVS ou de l’AI; si le bénéficiaire de prestations complémentaires ou une autre personne comprise dans le calcul de la prestation complémentaire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L'art. 11 al. 1 lettre g LPC est directement applicable lorsque l'épouse d'un assuré s'abstient de mettre en valeur sa capacité de gain, alors qu'elle pourrait se voir obligée d'exercer une activité lucrative en vertu de l'art. 163 CC (ATF 117 V 291 s. consid. 3b; VSI 2001 p. 127 consid. 1b).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VSI 2001 p. 127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(ATFA non publié du 9 février 2005, P. 40/03, consid. 4.2). Il ressort de la jurisprudence fédérale que le gain potentiel doit être réalisable par l’intéressée. On peut utilement se référer à la casuistique établie sur la base de la jurisprudence rendue en la matière tant par le Tribunal fédéral (ci-après : TF) que par le Tribunal de céans.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gain hypothétique n’a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n'ayant aucune formation, ne parlant pratiquement pas le français et ayant plusieurs enfants en bas âge ( ATAS/750/2004 ). En revanche, un taux d'activité lucrative possible de 50 % a été retenu pour une épouse ayant à charge quatre enfants, qui était elle-même jeune et qui possédait une bonne formation ( ATAS/468/2004 ),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Aucun gain potentiel n’a été retenu dans le cas d’un conjoint âgé de 54 ans, n’ayant pas de formation ni de connaissances de français, souffrant de plusieurs limitations fonctionnelles au membre supérieur droit ainsi que d’une dépression à elle-seule invalidante à raison de 50 % ( ATAS/1095/2007 ). Une capacité de travail de 50 % a été admise dans le cas d'une femme de 40 ans, sans enfant, dont la fibromyalgie n'était pas invalidante du point de vue de l'assurance-invalidité ( ATAS/1445/2007 ). Un gain potentiel dans l’activité actuelle à 50 % en atelier protégé a été reconnu à l’époux qui souffre d'un handicap et se déplace en fauteuil roulant, compte tenu de ses limitations physiques importantes ainsi que de son manque de formation ( ATAS/132/2008 ). Dans le cas d’une femme de 39 ans, avec trois enfants, dont un seul encore mineur, qui n’avait pratiquement jamais travaillé depuis son arrivée en Suisse et qui était atteinte de fibromyalgie ainsi que de fatigue chronique, le TF a considéré comme raisonnablement exigible l’exercice d’une activité lucrative si ce n'est à plein temps, du moins à mi-temps (ATF non publié 8C_470/2008 du 29 janvier 2009). En l’espèce, le SPC a tenu compte d’un gain hypothétique pour l’épouse dès le 1 er juin 2008, ce que l'intéressé conteste. Il appert de la partie en fait qui précède que l’épouse de l’intéressé, âgée de 51 ans, est tombée d'une échelle en février 2008 et souffre de douleurs dorsales depuis. Nonobstant ces douleurs, elle a continué à travailler dans son emploi de nettoyeuse jusqu'à fin mai 2008, date à laquelle elle a signifié à son employeur qu'elle ne pouvait plus poursuivre. Le Dr A___________ a attesté dans différents certificats qu'elle présentait une incapacité totale de travailler quelques mois après sa chute. Il a précisé ensuite qu'une activité légère et sans stress serait envisageable à plein temps. Le Tribunal de céans relève à cet égard que l'épouse de l'intéressé a elle-même déclaré lors de son audition, le 16 juin 2009, qu'elle pourrait travailler, pour autant que son dos ne soit pas sollicité.. Elle a également expliqué qu'elle avait toujours travaillé à mi-temps, par choix essentiellement, dans la mesure où elle devait également se consacrer aux travaux ménagers. Il y a dès lors lieu de considérer que l'exercice d'une activité lucrative légère à 100 % est exigible d'elle. Reste à déterminer le revenu potentiellement réalisable par l’épouse de l'intéressé. Le SPC s'est fondé sur la convention collective de travail en vigueur à Genève dans le secteur du nettoyage pour en fixer le montant à 25'570 fr. 80 (39'856 fr. - 1'500 fr. = 38'356 fr.; 2/3 de 38'356 fr. = 25'570 fr. 80). L'intéressé ne comprend pas pour quel motif les salaires de la convention applicable dans le secteur du nettoyage sont pris en considération par le SPC, alors précisément que son épouse ne peut plus travailler comme nettoyeuse. Il aurait été en effet possible de se fonder sur les chiffres de l’Enquête suisse sur la structure des salaires (ESS), 2006, tableau TA1, toutes activités confondues, femmes, activités simples et répétitives, ceux-ci s'avèrent toutefois supérieurs à ceux figurant dans la convention. Aussi le Tribunal de céans est-il d'avis que le SPC a, à juste titre, retenu ces derniers. Le recours est en conséquence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