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A/720/2008 vom 31. Januar 2008</w:t>
      </w:r>
    </w:p>
    <w:p>
      <w:r>
        <w:t>GE Cour de justice, 2008-01-31, FR</w:t>
      </w:r>
    </w:p>
    <w:p>
      <w:r>
        <w:rPr>
          <w:b/>
        </w:rPr>
        <w:t xml:space="preserve">Quelle: </w:t>
      </w:r>
      <w:r>
        <w:t>https://mcp.opencaselaw.ch/entscheid/ge_gerichte_A_720_2008</w:t>
      </w:r>
    </w:p>
    <w:p>
      <w:r>
        <w:t>FR: GE_GERICHTE A/720/2008 du 31 janvier 2008</w:t>
      </w:r>
    </w:p>
    <w:p>
      <w:r>
        <w:t>IT: GE_GERICHTE A/720/2008 del 31 gennaio 2008</w:t>
      </w:r>
    </w:p>
    <w:p>
      <w:pPr>
        <w:pStyle w:val="Heading2"/>
      </w:pPr>
      <w:r>
        <w:t>Erwägungen</w:t>
      </w:r>
    </w:p>
    <w:p>
      <w:r>
        <w:rPr>
          <w:b/>
        </w:rPr>
        <w:t>E. 4</w:t>
      </w:r>
    </w:p>
    <w:p>
      <w:r>
        <w:t>Invité à se déterminer, l'OCAI, dans sa réponse du 17 avril 2008, a conclu au rejet du recours. A l'appui de sa position, il se réfère au rapport d'expertise psychiatrique du Dr M__________. Sur la base de ce document, l'OCAI maintient que l'incapacité de travail de l'assurée est nulle tant dans une activité adaptée que dans l'activité précédemment exercée. EN DROIT 1. Conformément à l’art. 56V de la loi sur l’organisation judiciaire (LOJ), le Tribunal cantonal des assurances sociales est compétent pour statuer dans la présente cause. 2. 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 3. En l'espèce, la situation juridique de Madame B__________ pourrait être affectée par l'issue de la présente procédure si le Tribunal de céans arrivait à la conclusion que c'est à tort que l'OCAI lui a reconnu un degré d'invalidité de 100%. Il se justifie par conséquent d'appeler en cause l'assurée et de lui donner l'occasion de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