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A/718/2007 vom 19. September 2007</w:t>
      </w:r>
    </w:p>
    <w:p>
      <w:r>
        <w:t>GE Cour de justice, 2007-09-19, FR</w:t>
      </w:r>
    </w:p>
    <w:p>
      <w:r>
        <w:rPr>
          <w:b/>
        </w:rPr>
        <w:t xml:space="preserve">Quelle: </w:t>
      </w:r>
      <w:r>
        <w:t>https://mcp.opencaselaw.ch/entscheid/ge_gerichte_A_718_2007</w:t>
      </w:r>
    </w:p>
    <w:p>
      <w:r>
        <w:t>FR: GE_GERICHTE A/718/2007 du 19 septembre 2007</w:t>
      </w:r>
    </w:p>
    <w:p>
      <w:r>
        <w:t>IT: GE_GERICHTE A/718/2007 del 19 settembre 2007</w:t>
      </w:r>
    </w:p>
    <w:p>
      <w:pPr>
        <w:pStyle w:val="Heading2"/>
      </w:pPr>
      <w:r>
        <w:t>Volltext</w:t>
      </w:r>
    </w:p>
    <w:p>
      <w:r>
        <w:t>Genève Cour de justice (Cour de droit public) Chambre des assurances sociales 19.09.2007 A/718/2007</w:t>
      </w:r>
    </w:p>
    <w:p>
      <w:r>
        <w:t>A/718/2007 ATAS/1003/2007 du 19.09.2007 ( CHOMAG ) , RETIRE RÉPUBLIQUE ET CANTON DE GENÈVE POUVOIR JUDICIAIRE A/718/2007 ATAS/1003/2007 ARRET DU TRIBUNAL CANTONAL DES ASSURANCES SOCIALES Chambre 4 du 19 septembre 2007 En la cause Monsieur D__________, domicilié , COLOGNY, représenté par CAP Compagnie d'Assurance de Protection Juridique SA recourant contre CAISSE CANTONALE GENEVOISE DE CHOMAGE, siseRue de Montbrillant 40;Case postale 2293, 1211 GENEVE 2 intimée Vu la décision sur opposition du 22 janvier 2007, Vu le recours interjeté le 23 février 2007, Vu la réponse du 23 avril 2007, Vu les audiences d'enquêtes et l'audience de comparution personnelle des parties du 16 mai 2007; Attendu qu'à l'issue de cette dernière audience, la cause a été gardée à juger; Que par lettre du 22 août 2007, le Tribunal de céans a octroyé un délai à la partie recourante pour retirer son recours, faute de quoi, un arrêt de réformation à son détriment serait rendu ( reformatio in pejus ); Que par lettre du 5 septembre 2007, la partie recourante a déclaré retirer son recours; Qu'il convient d'en prendre acte et de rayer la cause du rôle. PAR CES MOTIFS, LE TRIBUNAL CANTONAL DES ASSURANCES SOCIALES : Prend acte du retrait du recours. Raye la cause du rôle. La greffière Sylvie CHAMOUX La Présidente :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