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A/717/2023 vom 29. März 2023</w:t>
      </w:r>
    </w:p>
    <w:p>
      <w:r>
        <w:t>GE Cour de justice, 2023-03-29, FR</w:t>
      </w:r>
    </w:p>
    <w:p>
      <w:r>
        <w:rPr>
          <w:b/>
        </w:rPr>
        <w:t xml:space="preserve">Quelle: </w:t>
      </w:r>
      <w:r>
        <w:t>https://mcp.opencaselaw.ch/entscheid/ge_gerichte_A_717_2023</w:t>
      </w:r>
    </w:p>
    <w:p>
      <w:r>
        <w:t>FR: GE_GERICHTE A/717/2023 du 29 mars 2023</w:t>
      </w:r>
    </w:p>
    <w:p>
      <w:r>
        <w:t>IT: GE_GERICHTE A/717/2023 del 29 marzo 2023</w:t>
      </w:r>
    </w:p>
    <w:p>
      <w:pPr>
        <w:pStyle w:val="Heading2"/>
      </w:pPr>
      <w:r>
        <w:t>Erwägungen</w:t>
      </w:r>
    </w:p>
    <w:p>
      <w:r>
        <w:rPr>
          <w:b/>
        </w:rPr>
        <w:t>E. 4</w:t>
      </w:r>
    </w:p>
    <w:p>
      <w:r>
        <w:t>ème Chambre En la cause Madame A______, domiciliée ______, GEX, FRANCE Monsieur B______, domicilié ______, GRENOBLE, FRANCE demandeurs EN FAIT 1.        Madame A______ (ci-après : la demanderesse) et Monsieur B______ (ci-après : le demandeur), tous deux doubles nationaux franco-suisses, sont divorcés en vertu d’une convention de divorce par consentement mutuel par acte sous signature privée contresigné par avocats et déposé au rang des minutes de l’étude de notaires C______ à Ferney-Voltaire, le 29 décembre 2022. ![endif]&gt;![if&gt; 2.        Le demandeur dispose d’un avoir de libre passage de CHF 725'276.25 (en date du 1 er janvier 2018) auprès de CAP Prévoyance. La demanderesse ne dispose pas d’avoirs de prévoyance. ![endif]&gt;![if&gt; 3.        Par requête commune en partage des avoirs de prévoyance (art. 122 et 123 du Code civil [CC- RS 210]), les demandeurs ont requis de la chambre des assurances sociales de la Cour de justice qu’elle ordonne le partage par moitié des avoirs de prévoyance accumulés par le demandeur pendant la durée du mariage, soit du 7 décembre 1996 au 29 décembre 2022.![endif]&gt;![if&gt;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aCC).![endif]&gt;![if&gt; 2.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en cause ayant été rendu après l'entrée en vigueur, le 1 er janvier 2017, des nouvelles dispositions relatives au partage de la prévoyance professionnelle en cas de divorce, il y a lieu de les appliquer en l’espèce. 3.        L'art. 25 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Selon l'art. 22 al. 1 LFLP (dans sa teneur en vigueur depuis le 1 er janvier 2017), en cas de divorce, les prestations de sortie et les parts de rente sont partagées conformément aux art. 122 à 124e CC et 280 et 281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4.        Selon l’art. 64 al. 1 et al. 1bis de la loi fédérale sur le droit international privé du 18 décembre 1987 (LDIP - RS 291), entré en vigueur le 1 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compétents.![endif]&gt;![if&gt; Le message du Conseil fédéral concernant la révision du CC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Tel était déjà le cas sous l’empire de l’ancien droit, selon lequel les Tribunaux cantonaux d'assurances sociales étaient certes compétents pour exécuter le partage selon la clé de répartition fixée par le juge civil, mais ne pouvaient se substituer au juge civil pour déterminer la clé de répartition (ATF 132 III 401 consid. 2.2 p. 404; ATF 132 V 337 consid. 2.2 p. 341; arrêt du Tribunal fédéral 9C_388/2009 ). 5.        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matière.![endif]&gt;![if&gt; La compétence qui lui est donnée par l’art. 134 al. 1 let. b LOJ ne concerne en effet que l’exécution du partage sur la base de la clé de répartition des prestations de prévoyance professionnelle décidée par le juge du divorce (ATF 132 III 401 consid. 2.2 p. 404; ATF 132 V 337 consid. 2.2 p. 341; arrêt du Tribunal fédéral 9C_388/2009 ). Aussi la chambre de céans ne peut-elle que refuser d’entrer en matière, faute de compétence et la cause sera transmise d’office au Tribunal de première instance (arrêt du Tribunal fédéral 9C_737/2010 ; ATAS/85/2018 du 30 janvier 2018). 6.        Aucun émolument ne sera perçu, la procédure étant gratuite (art. 73 al. 2 LPP et 89H al. 1 de la loi sur la procédure administrative du 12 septembre 1985 (LPA-GE - E 5 10).![endif]&gt;![if&gt;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