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A/714/2012 vom 6. November 2012</w:t>
      </w:r>
    </w:p>
    <w:p>
      <w:r>
        <w:t>GE Cour de justice, 2012-11-06, FR</w:t>
      </w:r>
    </w:p>
    <w:p>
      <w:r>
        <w:rPr>
          <w:b/>
        </w:rPr>
        <w:t xml:space="preserve">Quelle: </w:t>
      </w:r>
      <w:r>
        <w:t>https://mcp.opencaselaw.ch/entscheid/ge_gerichte_A_714_2012</w:t>
      </w:r>
    </w:p>
    <w:p>
      <w:r>
        <w:t>FR: GE_GERICHTE A/714/2012 du 6 novembre 2012</w:t>
      </w:r>
    </w:p>
    <w:p>
      <w:r>
        <w:t>IT: GE_GERICHTE A/714/2012 del 6 novembre 2012</w:t>
      </w:r>
    </w:p>
    <w:p>
      <w:pPr>
        <w:pStyle w:val="Heading2"/>
      </w:pPr>
      <w:r>
        <w:t>Erwägungen</w:t>
      </w:r>
    </w:p>
    <w:p>
      <w:r>
        <w:rPr>
          <w:b/>
        </w:rPr>
        <w:t>E. 2</w:t>
      </w:r>
    </w:p>
    <w:p>
      <w:r>
        <w:t>. Même si aucune de ces parcelles n’est plus, à l’heure actuelle, dévolue à l’agriculture, on ne peut sans autre retenir, qu’au vu du seul écoulement du temps, la zone formée de la parcelle n° 13’326 et des parcelles voisines restera non affectée à l’agriculture alors qu’elle se situe dans le prolongement des grandes parcelles affectées à un tel usage, qui se situent de l’autre côté de la route de Gratillet. C’est donc à juste titre que la CFA a refusé de désassujettir, notamment au vu de ses dimensions, la totalité de la parcelle de la zone agricole quels que soient l’état de végétation qu’elle présente actuellement et l’utilisation qu’en fait son propriétaire. Le recours sera rejeté. Vu l’issue du litige, un émolument de CHF 1’000.- sera mis à la charge du recourant qui succombe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