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A/711/2013 vom 25. August 2015</w:t>
      </w:r>
    </w:p>
    <w:p>
      <w:r>
        <w:t>GE Cour de justice, 2015-08-25, FR</w:t>
      </w:r>
    </w:p>
    <w:p>
      <w:r>
        <w:rPr>
          <w:b/>
        </w:rPr>
        <w:t xml:space="preserve">Quelle: </w:t>
      </w:r>
      <w:r>
        <w:t>https://mcp.opencaselaw.ch/entscheid/ge_gerichte_A_711_2013</w:t>
      </w:r>
    </w:p>
    <w:p>
      <w:r>
        <w:t>FR: GE_GERICHTE A/711/2013 du 25 août 2015</w:t>
      </w:r>
    </w:p>
    <w:p>
      <w:r>
        <w:t>IT: GE_GERICHTE A/711/2013 del 25 agosto 2015</w:t>
      </w:r>
    </w:p>
    <w:p>
      <w:pPr>
        <w:pStyle w:val="Heading2"/>
      </w:pPr>
      <w:r>
        <w:t>Regeste</w:t>
      </w:r>
    </w:p>
    <w:p>
      <w:r>
        <w:t>DROIT FISCAL ; IMPÔT ; IMPÔT CANTONAL ET COMMUNAL ; IMPÔT FÉDÉRAL DIRECT ; IMPÔT SUR LE REVENU ; TAXATION CONSÉCUTIVE À UNE PROCÉDURE ; PRESTATION APPRÉCIABLE EN ARGENT ; SOUSTRACTION D'IMPÔT ; FAUTE ; INTENTION ; CONSCIENCE ; NÉGLIGENCE ; AMENDE | Société au bénéfice d'une promesse d'achat et d'un droit d'exemption permettant l'acquisition d'une parcelle à un prix fixé en 2004 qui s'en dessaisi au profit de ses associés gérant en 2006, permettant à ces derniers de réaliser une vente subséquente du bien-fonds avec une plus value conjonturelle. La condition d'une prestation disproportionnée et insolite effectuée sans contrepartie apparaît remplie, la plus-value devant ainsi être réintégrée dans le bénéfice de la société. Prise en compte des charges étroitement liées à la reprise et constitution d'une provision pour impôt justifiée par l'usage commercial dans le bilan corrigé. Confirmation de l'amende pour soustraction par négligence. Quotité fixée à la moitié des impôts éludés. | LIFD.58.al1.letb ; LIFD.58.al1.letc ; LIFD.59.al1.leta ; LIFD.175.al2 ; LIPM.12</w:t>
      </w:r>
    </w:p>
    <w:p>
      <w:pPr>
        <w:pStyle w:val="Heading2"/>
      </w:pPr>
      <w:r>
        <w:t>Erwägungen</w:t>
      </w:r>
    </w:p>
    <w:p>
      <w:r>
        <w:rPr>
          <w:b/>
        </w:rPr>
        <w:t>E. 2</w:t>
      </w:r>
    </w:p>
    <w:p>
      <w:r>
        <w:t>ème phr.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 c. La notion de négligence de l'art. 175 LIFD est identique à celle de l'art. 12 CP.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 Pietro SANSONETTI, in Danielle YERSIN/Yves NOËL [éd.], op. cit., p. 1500 ss). En l'espèce, l'AFC a retenu que la recourante avait été négligente, relevant l’identité économique entre les organes de la contribuable et les bénéficiaires de la prestation, soulignant néanmoins sa bonne collaboration au cours de la procédure ce qui constituait une circonstance atténuante. Quant aux montants importants sur lesquels porte la soustraction, elle a été considérée comme circonstance aggravante. La quotité des amendes ICC et IFD a été fixée à la moitié des impôts soustraits par l’AFC, ce que le TAPI a confirmé. Cette quotité apparaît proportionnée à la négligence commise par la recourante et aux circonstances du cas d'espèce. Elle tient également et suffisamment compte de la bonne collaboration de l'intéressée. La quotité fixée à la moitié de l’impôt soustrait sera ainsi confirmée. 14) Vu ce qui précède, le recours sera très partiellement admis. Aux fins de simplification, tant le jugement du TAPI que les décisions sur réclamations et les bordereaux seront annulés. Le dossier sera renvoyé à l’AFC pour établissement de nouveaux bordereaux de rappel d’impôt et d’amendes IFD et ICC 2006, au sens des considérants.![endif]&gt;![if&gt; Compte tenu de cette issue, un émolument réduit de CHF 800.- sera mis à la charge de la recourante (art. 87 al. 1 LPA) et il ne lui sera alloué aucune 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