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A/70/2009 vom 12. Februar 2009</w:t>
      </w:r>
    </w:p>
    <w:p>
      <w:r>
        <w:t>GE Cour de justice, 2009-02-12, FR</w:t>
      </w:r>
    </w:p>
    <w:p>
      <w:r>
        <w:rPr>
          <w:b/>
        </w:rPr>
        <w:t xml:space="preserve">Quelle: </w:t>
      </w:r>
      <w:r>
        <w:t>https://mcp.opencaselaw.ch/entscheid/ge_gerichte_A_70_2009</w:t>
      </w:r>
    </w:p>
    <w:p>
      <w:r>
        <w:t>FR: GE_GERICHTE A/70/2009 du 12 février 2009</w:t>
      </w:r>
    </w:p>
    <w:p>
      <w:r>
        <w:t>IT: GE_GERICHTE A/70/2009 del 12 febbraio 2009</w:t>
      </w:r>
    </w:p>
    <w:p>
      <w:pPr>
        <w:pStyle w:val="Heading2"/>
      </w:pPr>
      <w:r>
        <w:t>Regeste</w:t>
      </w:r>
    </w:p>
    <w:p>
      <w:r>
        <w:t>Qualité pour agir. Représentation. Délai pour agir. Commandement de payer. Avis de saisie. Vice dans la notification. | Le père du poursuivi n'a pas qualité pour agir; il a, en revanche, qualité pour représenter son fils. La notification du commandement de payer est viciée et le plaignant a agi dans le délai prescrit à compter de la date à laquelle il a eu connaissance de l'avis de saisie et du commandement de payer. La notification est annulée et l'avis de saisie nul. | LPA.9; LaLP.13.5; LP.17.3; 56 ch.2; 63; 64.1; 72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L'admet.</w:t>
      </w:r>
    </w:p>
    <w:p>
      <w:r>
        <w:rPr>
          <w:b/>
        </w:rPr>
        <w:t>E. 2</w:t>
      </w:r>
    </w:p>
    <w:p>
      <w:r>
        <w:t>Annule la notification du commandement de payer, poursuite n° 08 xxxx56 V.</w:t>
      </w:r>
    </w:p>
    <w:p>
      <w:r>
        <w:rPr>
          <w:b/>
        </w:rPr>
        <w:t>E. 3</w:t>
      </w:r>
    </w:p>
    <w:p>
      <w:r>
        <w:t>Constate la nullité de l'avis de saisie, poursuite n° 08 xxxx65 V.</w:t>
      </w:r>
    </w:p>
    <w:p>
      <w:r>
        <w:rPr>
          <w:b/>
        </w:rPr>
        <w:t>E. 4</w:t>
      </w:r>
    </w:p>
    <w:p>
      <w:r>
        <w:t>Déboute les parties de toutes autres conclusions. Siégeant : Mme Ariane WEYENETH, présidente ; MM. Philipp GANZONI et Philippe VEILLARD, juges assesseurs. Au nom de la Commission de surveillance : Véronique PISCETTA Ariane WEYENETH Greffière : Présidente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