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A/707/2023 vom 23. April 2024</w:t>
      </w:r>
    </w:p>
    <w:p>
      <w:r>
        <w:t>GE Cour de justice, 2024-04-23, FR</w:t>
      </w:r>
    </w:p>
    <w:p>
      <w:r>
        <w:rPr>
          <w:b/>
        </w:rPr>
        <w:t xml:space="preserve">Quelle: </w:t>
      </w:r>
      <w:r>
        <w:t>https://mcp.opencaselaw.ch/entscheid/ge_gerichte_A_707_2023</w:t>
      </w:r>
    </w:p>
    <w:p>
      <w:r>
        <w:t>FR: GE_GERICHTE A/707/2023 du 23 avril 2024</w:t>
      </w:r>
    </w:p>
    <w:p>
      <w:r>
        <w:t>IT: GE_GERICHTE A/707/2023 del 23 aprile 2024</w:t>
      </w:r>
    </w:p>
    <w:p>
      <w:pPr>
        <w:pStyle w:val="Heading2"/>
      </w:pPr>
      <w:r>
        <w:t>Erwägungen</w:t>
      </w:r>
    </w:p>
    <w:p>
      <w:r>
        <w:rPr>
          <w:b/>
        </w:rPr>
        <w:t>E. 2</w:t>
      </w:r>
    </w:p>
    <w:p>
      <w:r>
        <w:t>Le recourant sollicite son audition à titre préalable.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En l'espèce, le TAPI a indiqué que le recourant ne mentionnait pas en quoi son audition serait nécessaire. La même constatation doit être faite par la chambre de céans, qui ne voit par ailleurs pas, sur la base du dossier, ce qu'une telle audition pourrait apporter de plus que les éléments déjà présents au dossier. Il ne sera donc pas procédé à l'acte d’instruction sollicité et il sera retenu que le TAPI n’a pas violé le droit d’être entendu du recourant en n'y procédant pas.</w:t>
      </w:r>
    </w:p>
    <w:p>
      <w:r>
        <w:rPr>
          <w:b/>
        </w:rPr>
        <w:t>E. 3</w:t>
      </w:r>
    </w:p>
    <w:p>
      <w:r>
        <w:t>Est litigieux le refus de l’OCPM de retenir l’existence d’un cas de rigueur justifiant l’octroi d’une autorisation de séjour au recourant.</w:t>
      </w:r>
    </w:p>
    <w:p>
      <w:r>
        <w:rPr>
          <w:b/>
        </w:rPr>
        <w:t>E. 3.1</w:t>
      </w:r>
    </w:p>
    <w:p>
      <w:r>
        <w:t>Le 1 er janvier 2019 est entrée en vigueur une modification de la LEI et de l’OASA. Conformément à l'art. 126 al. 1 LEI, les demandes déposées, comme en l'espèce, après cette date sont régies par le nouveau droit (arrêt du Tribunal fédéral 2C_1075/2019 du 21 avril 2020 consid. 1.1).</w:t>
      </w:r>
    </w:p>
    <w:p>
      <w:r>
        <w:rPr>
          <w:b/>
        </w:rPr>
        <w:t>E. 3.2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d'Albanie.</w:t>
      </w:r>
    </w:p>
    <w:p>
      <w:r>
        <w:rPr>
          <w:b/>
        </w:rPr>
        <w:t>E. 3.3</w:t>
      </w:r>
    </w:p>
    <w:p>
      <w:r>
        <w:t>Aux termes de l'art. 30 al. 1 let. b LEI, il est possible de déroger aux conditions d'admission (art. 18 à 29 LEI) notamment dans le but de tenir compte des cas individuels d'une extrême gravité ou d'intérêts publics majeurs.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septembre 2023, ch. 5.6.10 [ci-après : directives LEI] ; ATA/756/2023 du 11 juillet 2023 consid. 2.4).</w:t>
      </w:r>
    </w:p>
    <w:p>
      <w:r>
        <w:rPr>
          <w:b/>
        </w:rPr>
        <w:t>E. 3.4</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3.5</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ATA/628/2023 du 13 juin 2023 consid. 3.5).</w:t>
      </w:r>
    </w:p>
    <w:p>
      <w:r>
        <w:rPr>
          <w:b/>
        </w:rPr>
        <w:t>E. 3.6</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La question est de savoir si, en cas de retour dans le pays d'origine, les conditions de sa réintégration sociale, au regard de la situation personnelle, professionnelle et familiale de l'intéressé, seraient gravement compromises ( ATA/756/2023 précité consid. 2.6 ; arrêts du Tribunal fédéral 2C_621/2015 du 11 décembre 2015 consid. 5.2.1 ; 2C_369/2010 du 4 novembre 2010 consid. 4.1).</w:t>
      </w:r>
    </w:p>
    <w:p>
      <w:r>
        <w:rPr>
          <w:b/>
        </w:rPr>
        <w:t>E. 3.7</w:t>
      </w:r>
    </w:p>
    <w:p>
      <w:r>
        <w:t>En l’espèce, le recourant soutient séjourner en Suisse de manière ininterrompue depuis 2011. Outre qu'il n'a pas dûment prouvé un séjour ininterrompu aussi long, la durée dudit séjour doit être fortement relativisée au regard du fait qu’il a été entièrement effectué dans l’illégalité. Le recourant ne peut se prévaloir d’une intégration sociale remarquable. Certes, il est financièrement indépendant, ne fait pas l'objet de poursuites et dit n'avoir pas recouru à l’aide sociale. Il ne soutient toutefois pas avoir noué à Genève des liens affectifs ou amicaux d’une intensité telle qu’il ne pourrait les poursuivre par le biais de moyens de télécommunication modernes une fois de retour en Albanie. Il ne fait pas non plus valoir qu’il s'investirait d’une quelconque manière dans la vie associative, sportive ou culturelle à Genève. Il n’est pas contesté qu’il a œuvré à Genève dans le domaine du bâtiment et du nettoyage. Ces activités ne présentent toutefois pas une spécificité telle qu’il ne pourrait être exigé de sa part de les poursuivre dans son pays d’origine. Au contraire, il apparaît que le recourant pourra, en cas de retour dans son pays, mettre à profit l’expérience professionnelle et les connaissances de la langue française acquises durant son séjour en Suisse. Le recourant a vécu en Albanie au moins jusqu'en 2011, de sorte qu’il y a passé son enfance, son adolescence et le début de sa vie d’adulte. Il connaît donc les us et coutumes de son pays et ne prétend pas qu'il n'en parlerait pas la langue. Ainsi, quand bien même après plusieurs années passées à l’étranger, il traversera à son retour dans son pays une nécessaire phase de réadaptation, sa réintégration socio‑professionnelle ne paraît pas gravement compromise sur le long terme. S'agissant enfin de son état de santé, le recourant n'établit aucunement que le suivi médical dont il a besoin ne serait pas disponible dans son pays d'origine, ceci alors même que selon la jurisprudence fédérale, les maladies psychiatriques telles que la dépression peuvent être soignées en Albanie (arrêt du Tribunal administratif fédéral F-5711/2018 du 16 décembre 2020 consid. 7). Au vu de l’ensemble de ces éléments, l’OCPM n’a pas violé le droit ni abusé de son pouvoir d’appréciation en retenant que le recourant ne remplissait pas les conditions restrictives permettant l’octroi d’une autorisation de séjour pour cas de rigueur, en particulier sous l'angle des éléments nouveaux d'ordre médical qui seuls justifiaient la reconsidération de sa précédente décision.</w:t>
      </w:r>
    </w:p>
    <w:p>
      <w:r>
        <w:rPr>
          <w:b/>
        </w:rPr>
        <w:t>E. 4</w:t>
      </w:r>
    </w:p>
    <w:p>
      <w:r>
        <w:t>Il convient encore d’examiner si le renvoi prononcé par l’OCPM est fondé.</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4.2</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4.3</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4.4</w:t>
      </w:r>
    </w:p>
    <w:p>
      <w:r>
        <w:t>En l'espèce, dès lors qu'il a, à juste titre, refusé l’octroi d’une autorisation de séjour au recourant, l'intimé devait en principe prononcer son renvoi. Les problèmes de santé du recourant, qui peuvent comme déjà vu être pris en charge en Albanie, n'atteignent pas le degré de gravité prévu par la jurisprudence précitée pour entraîner l'inexigibilité de son renvoi. Mal fondé, le recours sera rejeté.</w:t>
      </w:r>
    </w:p>
    <w:p>
      <w:r>
        <w:rPr>
          <w:b/>
        </w:rPr>
        <w:t>E. 5</w:t>
      </w:r>
    </w:p>
    <w:p>
      <w:r>
        <w:t>Vu l'issue du recours,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