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A/707/2016 vom 24. August 2016</w:t>
      </w:r>
    </w:p>
    <w:p>
      <w:r>
        <w:t>GE Cour de justice, 2016-08-24, FR</w:t>
      </w:r>
    </w:p>
    <w:p>
      <w:r>
        <w:rPr>
          <w:b/>
        </w:rPr>
        <w:t xml:space="preserve">Quelle: </w:t>
      </w:r>
      <w:r>
        <w:t>https://mcp.opencaselaw.ch/entscheid/ge_gerichte_A_707_2016</w:t>
      </w:r>
    </w:p>
    <w:p>
      <w:r>
        <w:t>FR: GE_GERICHTE A/707/2016 du 24 août 2016</w:t>
      </w:r>
    </w:p>
    <w:p>
      <w:r>
        <w:t>IT: GE_GERICHTE A/707/2016 del 24 agosto 2016</w:t>
      </w:r>
    </w:p>
    <w:p>
      <w:pPr>
        <w:pStyle w:val="Heading2"/>
      </w:pPr>
      <w:r>
        <w:t>Erwägungen</w:t>
      </w:r>
    </w:p>
    <w:p>
      <w:r>
        <w:rPr>
          <w:b/>
        </w:rPr>
        <w:t>E. 4</w:t>
      </w:r>
    </w:p>
    <w:p>
      <w:r>
        <w:t>ème Chambre Rectification erreur matérielle, art. 85 LPA au GRAND-LANCY En la cause Monsieur A______, domicilié Rue du Beulet 3 , GENÈVE Madame A______, domiciliée à CHÂTELAINE demandeur demanderesse contre CAISSE INTER-ENTREPRISES DE PRÉVOYANCE PROFESSIONNELLE CIEPP, sise rue de Saint-Jean 67, GENÈVE SWISS LIFE SA, sise General-Guisan-Quai 40, ZURICH défenderesses EN FAIT 1.        Par jugement du 25 janvier 2016, la 17 ème chambre du Tribunal de première instance a prononcé la dissolution du mariage contracté le 5 juin 1998 à Onex (GE) par Madame A______, née B______ le ______ 1972 et Monsieur A______, né le ______ 1971.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9 février 2016 et a été transmis d'office à la chambre de céans le 2 mars 2016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5 juin 1998 et le 9 février 2016.![endif]&gt;![if&gt; 5.        L’instruction menée par la chambre de céans a permis d’établir les faits suivants :![endif]&gt;![if&gt; a. S’agissant des avoirs de prévoyance de la demanderesse :![endif]&gt;![if&gt; ·      Par courrier du 13 avril 2016, la caisse inter-entreprises de prévoyance professionnelle CIEPP a indiqué que la prestation de sortie de la demanderesse au 9 février 2016 se monte à CHF 2'217.25. Elle a précisé que la demanderesse était affiliée auprès d’elle depuis le 1 er juin 2014. ![endif]&gt;![if&gt; ·      Par courrier du 26 juillet 2016, Swiss Life a indiqué que la demanderesse avait été affiliée dans le contrat collectif C______ AG du 1 er octobre 1992 au 31 mars 2000, date de la fin de ses rapports de service avec cette entreprise. Son avoir de vieillesse a été transféré dans une police de libre passage qui est toujours en vigueur. Sa prestation de sortie au 9 février 2016, date du divorce, se monte à CHF 10'098.55 et au 5 juin 1998, date du mariage à CHF 4'283.90, intérêt compris jusqu’au 9 février 2016. Sa prestation de sortie à partager au 9 février 2016 se monte à CHF 5'814.65.![endif]&gt;![if&gt; b. S’agissant des avoirs de prévoyance du demandeur : ![endif]&gt;![if&gt; ·      Par courrier du 20 avril 2016, la fondation de prévoyance de la métallurgie du bâtiment FPMB a indiqué que la prestation de libre passage du demandeur de CHF 31'000.05 a été transférée en date du 31 août 2005 à la fondation de la banque cantonale de Genève. Elle a précisé que le demandeur avait été affilié auprès d’elle du 22 janvier 1997 au 28 février 2005 et que son avoir au 5 juin 1998 (date du mariage) se montait de CHF 3'853.-. ![endif]&gt;![if&gt; ·      Par courrier du 10 mai 2016, la fondation de libre passage de la banque cantonale de Genève a indiqué que le compte du demandeur avait été clôturé le 12 janvier 2006 et son avoir de CHF 31'136.80 versé en sa faveur auprès de l’UBS SA au motif qu’il était devenu indépendant. ![endif]&gt;![if&gt; 6.        Ces documents ont été transmis aux parties en date des 8 avril et 28 juillet 2016. La juridiction leur a indiqué que selon les informations recueillies les prestations de libre passage à partager sont respectivement de CHF 0 pour Monsieur et de CHF 8'031.90 (2'217.25 + 5'814.65) pour Madame et qu'à défaut d'observations d'ici au 17 août 2016, un arrêt serait rendu sur cette base. ![endif]&gt;![if&gt; Dans le même délai, le demandeur a été invité à ouvrir un compte de libre passage et à en communiquer les coordonnées à la chambre de céans, à défaut de quoi l’avoir lui revenant sera versé auprès de la fondation institution supplétive LPP.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5 juin 1998, d’autre part le 9 février 2016, date à laquelle le jugement de divorce est devenu exécutoire.![endif]&gt;![if&gt; 5.        Selon les documents produits, la prestation acquise pendant le mariage par la demanderesse est de CHF 8'031.90, les intérêts ayant déjà été calculés par les institutions de prévoyance défenderesses. Le demandeur ne disposant plus d’avoirs de prévoyance au moment du divorce, la demanderesse doit à son ex-époux le montant de CHF 4'015.95 (CHF 8'031.80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