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A/705/2023 vom 21. Juni 2023</w:t>
      </w:r>
    </w:p>
    <w:p>
      <w:r>
        <w:t>GE Cour de justice, 2023-06-21, FR</w:t>
      </w:r>
    </w:p>
    <w:p>
      <w:r>
        <w:rPr>
          <w:b/>
        </w:rPr>
        <w:t xml:space="preserve">Quelle: </w:t>
      </w:r>
      <w:r>
        <w:t>https://mcp.opencaselaw.ch/entscheid/ge_gerichte_A_705_2023</w:t>
      </w:r>
    </w:p>
    <w:p>
      <w:r>
        <w:t>FR: GE_GERICHTE A/705/2023 du 21 juin 2023</w:t>
      </w:r>
    </w:p>
    <w:p>
      <w:r>
        <w:t>IT: GE_GERICHTE A/705/2023 del 21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les forme et délai prévus par la loi, le présent recours est recevable (art. 56 à 60 LPGA).![endif]&gt;![if&gt;</w:t>
      </w:r>
    </w:p>
    <w:p>
      <w:r>
        <w:rPr>
          <w:b/>
        </w:rPr>
        <w:t>E. 3</w:t>
      </w:r>
    </w:p>
    <w:p>
      <w:r>
        <w:t>![endif]&gt;![if&gt;</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2).![endif]&gt;![if&gt; L’art. 13 al. 1 LACI dispose que celui qui, dans les limites du délai-cadre prévu à cet effet (art. 9 al. 3), a exercé durant douze mois au moins une activité soumise à cotisation remplit les conditions relatives à la période de cotisation.</w:t>
      </w:r>
    </w:p>
    <w:p>
      <w:r>
        <w:rPr>
          <w:b/>
        </w:rPr>
        <w:t>E. 3.2</w:t>
      </w:r>
    </w:p>
    <w:p>
      <w:r>
        <w:t>Selon l'art. 31 al. 3 LACI, n'ont pas droit à l'indemnité :![endif]&gt;![if&gt; a. les travailleurs dont la réduction de l'horaire de travail ne peut être déterminée ou dont l'horaire de travail n'est pas suffisamment contrôlable ; b. le conjoint de l'employeur, occupé dans l'entreprise de celui-ci ;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Le Tribunal fédéral applique par analogie l’art. 31 al. 3 let. c LACI dans le domaine de l’indemnité de chômage.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(ATF 123 V 234 ; arrêt du Tribunal fédéral 8C_719/2008 du 1 er avril 2009 consid. 3.3). Il en va de même pour leur conjoint occupé dans l’entreprise (arrêts du Tribunal fédéral 8C_74/2011 du 3 juin 2011 consid. 5.1 ; 8C_1032/2010 du 7 mars 2011 consid. 5.1).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n’étant pas en soi suffisant pour l’exclure du droit à l’indemnité de chômage (ATF 120 V 521 consid. 3).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 arrêt du Tribunal fédéral 8C_574/2017 du 4 septembre 2018 consid. 5.1).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 Une rupture définitive de tout lien avec l’entreprise continuant d’exister est aussi admise lorsque l’assuré a divorcé de la personne occupant une position dirigeante au sein de cette entreprise, mais il ne suffit pas que les époux soient séparés de fait ou de droit ou que des mesures protectrices de l’union conjugale aient été ordonnées (ATF 142 V 263 ; arrêt du Tribunal fédéral 8C_574/2017 du 4 septembre 2018 consid. 5.2).</w:t>
      </w:r>
    </w:p>
    <w:p>
      <w:r>
        <w:rPr>
          <w:b/>
        </w:rPr>
        <w:t>E. 4</w:t>
      </w:r>
    </w:p>
    <w:p>
      <w:r>
        <w:t>En l'espèce, l’épouse du recourant a une procuration collective à deux dans l’entreprise de son père qui employait le recourant, mais elle n’a pas la qualité d’organe de celle-ci. Selon la jurisprudence précitée, il faut vérifier dans ce cas si elle a matériellement la qualité d'organe dirigeant de l'entreprise. Tel n'est manifestement pas le cas, dès lors qu'il ressort du dossier et des déclarations concordantes et convaincantes du recourant et de son épouse – qui sont confirmées par l’attestation de l’employeur du recourant – que l’épouse de celui-ci n’intervient pas dans la gestion de l’hôtel.![endif]&gt;![if&gt; Elle a ainsi déclaré que son mari gérait l'hôtel comme directeur et qu’elle gérait de manière indépendante les 24 studios de la résidence. Elle avait signé des documents pour son père avec sa procuration quand il ne pouvait pas le faire, notamment actuellement car il était à l'hôpital, mais elle ne l’avait jamais remplacé dans la gestion de l'hôtel, c’était toujours lui qui décidait de tout. Il est indéniable qu’il y a des liens entre les deux entreprises, qui sont gérées par un père et sa fille, qui se trouvent dans deux immeubles collés avec un passage permettant d’aller de l’un à l’autre et que l’épouse du recourant emprunte notamment pour aller à la buanderie de l’hôtel qu’elle utilise pour la résidence. Celle-ci paie des services hôteliers à l'hôtel et il arrive que les clients de la résidence s'adressent à l'accueil de l'hôtel et pour y récupérer leur clé. Les deux entreprises se présentent en outre comme une seule entité au public pour des raisons d'image et de marketing, l’hôtel indiquant ainsi sur ses courriers « Famille I______ » et « hôtel-résidence ». Cela explique également que l’épouse du recourant a pu se présenter comme directrice de l'hôtel D______ au niveau marketing. Les liens précités ne suffisent toutefois pas à considérer que cette dernière a matériellement la qualité d’organe dirigeant de l’entreprise de son père, ce qui n’est manifestement pas le cas. Elle a précisé à cet égard qu’elle n’avait pas la même vision que son père sur la gestion, de sorte que celui-ci n'avait rien à dire sur la résidence et qu’elle ne s’était jamais mêlée de la gestion de l'hôtel, ce d'autant moins qu’elle avait eu un cancer entre 2016 et 2019 et ses enfants à élever. Son temps de travail était souple pour la résidence et personne ne la remplaçait. Les résidents l'appelaient sur son téléphone portable. Il résulte de ce qui précède que c'est à tort que l’intimée a nié le droit à l'indemnité de chômage au recourant dès le 10 juin 2022, au motif que son épouse avait une position assimilable à son employeur.</w:t>
      </w:r>
    </w:p>
    <w:p>
      <w:r>
        <w:rPr>
          <w:b/>
        </w:rPr>
        <w:t>E. 5</w:t>
      </w:r>
    </w:p>
    <w:p>
      <w:r>
        <w:t>Le recours sera en conséquence admis, la décision querellée annulée et la cause renvoyée à la caisse pour nouvelle décision.![endif]&gt;![if&gt; Le recourant obtenant gain de cause et étant assisté d’un conseil, il a droit à des dépens qui seront fixés à CHF 2'000.- et mis à la charge de l’intimée (art. 61 let. g LPGA).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