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A/69/2019 vom 22. Dezember 2020</w:t>
      </w:r>
    </w:p>
    <w:p>
      <w:r>
        <w:t>GE Cour de justice, 2020-12-22, FR</w:t>
      </w:r>
    </w:p>
    <w:p>
      <w:r>
        <w:rPr>
          <w:b/>
        </w:rPr>
        <w:t xml:space="preserve">Quelle: </w:t>
      </w:r>
      <w:r>
        <w:t>https://mcp.opencaselaw.ch/entscheid/ge_gerichte_A_69_2019</w:t>
      </w:r>
    </w:p>
    <w:p>
      <w:r>
        <w:t>FR: GE_GERICHTE A/69/2019 du 22 décembre 2020</w:t>
      </w:r>
    </w:p>
    <w:p>
      <w:r>
        <w:t>IT: GE_GERICHTE A/69/2019 del 22 dicembre 2020</w:t>
      </w:r>
    </w:p>
    <w:p>
      <w:pPr>
        <w:pStyle w:val="Heading2"/>
      </w:pPr>
      <w:r>
        <w:t>Erwägungen</w:t>
      </w:r>
    </w:p>
    <w:p>
      <w:r>
        <w:rPr>
          <w:b/>
        </w:rPr>
        <w:t>E. 4</w:t>
      </w:r>
    </w:p>
    <w:p>
      <w:r>
        <w:t>au lot de PPE n o 9______, correspondant à un appartement de quatre pièces de 89,4 m 2 au premier étage avec balcon de 11,4 m 2 et locaux annexes n o 5'711 (cave et box). Cet appartement était loué à des tiers depuis le 1 er avril 2012, conformément au contrat de bail du 16 février 2012 conclu avec G______ et à l'avis de majoration du loyer émis par cette dernière le 7 novembre 2014. 6) a. Entre les mois de janvier et avril 2014, G______ a transféré à certains de ses actionnaires la propriété des lots de PPE de l'immeuble correspondant à leurs certificats d'actions.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 depuis lors le département du territoire (ci-après : DT), pour décision sur la question de l'assujettissement ou non à la législation sur les démolitions, transformations et rénovations de maisons d'habitation. c. Par arrêtés du 27 juillet 2015 (VA 6______ à VA 7______), le DT a refusé la délivrance des autorisations d'aliéner sollicitées par E______ concernant les actes de transfert de janvier à avril 2014. Ces arrêtés ont été confirmés sur recours par le Tribunal administratif de première instance (ci-après : TAPI) le 17 mai 2016 ( JTAPI/487/2016 ), la chambre administrative de la Cour de justice (ci-après : la chambre administrative) le 17 janvier 2017 ( ATA/38/2017 ) et le Tribunal fédéral le 23 novembre 2017 (arrêt du Tribunal fédéral 1C_124/2017 ). 7) Le 19 juin 2018, MM. A______ ont conclu une convention de cession du certificat d'actions n o 3______ de G______ avec B______. Le prix de vente était fixé à CHF 254'000.-. 8) Par requête du 3 juillet 2018, G______, sur papier à en-tête de E______, a sollicité auprès de l'office cantonal du logement et de la planification foncière (ci-après : OCLPF), rattaché au DT, l'autorisation que MM. A______ cèdent à B______ le certificat d'actions n o 3______. E______ a réitéré cette demande les 3 et 24 octobre ainsi que 20 novembre 2018. Vu l'arrêt du Tribunal fédéral 1C_124/2017 précité, MM. A______ ne voulaient pas rester dans G______. Ils avaient trop de « liquidités bloquées par empêchement de financement en SIAL et a[vait] besoin de liquidités ». M. C______ proposait de leur reprendre leur certificat d'actions par le biais de sa société B______. S'agissant d'un objet de rendement acquis par une société d'investissement, cet appartement resterait sur le marché locatif. La cession du certificat d'actions ne péjorerait aucunement la situation de l'objet. La pesée des intérêts commandait la délivrance de l'autorisation sollicitée. 9) Par arrêté du 3 décembre 2018 (VA 8______), remplaçant et annulant celui du 30 novembre 2018,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MM. A______ ne justifiaient d'aucun motif permettant de conclure à un intérêt privé prépondérant. 10) Par acte du 7 janvier 2019, MM. A______ et B______, représentés par E______, ont recouru auprès du TAPI contre cet arrêté, concluant à son annulation et à la délivrance de l'autorisation d'aliéner. Le DT contraignait les cédants à rester indéfiniment propriétaires de leur unique bien dans l'immeuble, dont l'aliénation correspondait à une vente en bloc. Il s'était laissé guider par son ressentiment envers M. C______. La fraude à la loi n'avait porté que sur le fait d'avoir voulu faire inscrire en nom propre certains titulaires de certificats d'action au RF. L'aliénation de l'appartement ne lui ferait pas perdre son affectation locative, vu l'institution même de la SIAL. S'agissant d'un investissement, l'appartement resterait sur le marché locatif. B______ rachetait le certificat d'actions quasiment au même prix d'acquisition par MM. A______. Le prix était raisonnable et ne pourrait justifier une augmentation de loyer. L'intérêt public n'était pas atteint ou mis en danger. Rien ne justifiait la restriction à la liberté du propriétaire de disposer de son bien. 11) Le 11 mars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 o 3______ à MM. A______, bien qu'elle ait constitué une fraude à la loi. Le souci invoqué, aucunement démontré, n'était pas l'expression d'un intérêt privé prédominant. MM. A______ n'étaient pas contraints à garder indéfiniment leur bien, pouvant requérir une vente en faveur de G______ et ainsi réparer la fraude à la loi. M. C______ montrait sa volonté de reprendre la maîtrise du lot considéré au travers d'une société dont il était administrateur, ce qu'il pouvait faire par le biais de G______, déjà propriétaire d'autres lots, évitant une individualisation qui se matérialiserait en cas de vente à B______, propriétaire d'aucun lot ou logement dans l'immeuble. Le DT avait procédé à la pesée des intérêts en toute objectivité. 12) Le 17 avril 2019, MM. A______ et B______ ont maintenu leur recours, soulignant que la législation sur les démolitions, transformations et rénovations de maisons d'habitation ne pouvait autoriser une autorité administrative à imposer à la vendeuse ou au vendeur la personne co-contractante. 13) Les 24 mai et 4 juin 2019, le DT, d'une part, ainsi que MM. A______ et B______, d'autre part, ont chacun persisté dans leurs conclusions. 14) Le 27 août 2019, le TAPI a tenu une audience de comparution personnelle. a. Selon MM. A______, ils avaient acheté le certificat d'actions pour investir dans l'immobilier, étant précisé que leur famille vivait à I______. Leur père avait entendu parler de l'opportunité par une connaissance, qui elle-même connaissait M. C______. L'idée était d'acheter d'abord un certificat d'actions puis de suivre une procédure qui permettrait finalement de passer en PPE. Ils savaient qu'il y avait un locataire et l'idée n'était pas d'occuper eux-mêmes l'appartement. Ils s'étaient dits que cela offrirait peut-être un jour à leur père, qui habitait chez M. X. A______, la possibilité d'aller y vivre. Ils avaient perçu une part des loyers correspondant à l'appartement, puisqu'ils s'étaient notamment acquittés des charges de la propriété, qui impliquaient notamment des travaux de rénovation. Pour le paiement du solde de CHF 180'000.-, ils avaient déjà entamé des discussions avec une banque en vue de la constitution d'une hypothèque une fois qu'ils seraient devenus propriétaires de l'appartement. Ayant entendu qu'il était très difficile de vendre des certificats d'actions d'une société immobilière, ils ne souhaitaient pas prendre de risques quant à la possibilité de revendre leurs actions et avaient saisi la possibilité que leur offrait M. C______ de pouvoir les lui revendre. Ils avaient également besoin de liquidités. b. M. C______ a expliqué que la revente en 2018 avait été faite au même prix qu'en 2013, sans qu'il ne soit question de rembourser les cédants des intérêts qu'ils avaient payés, puisqu'ils avaient quand même pu tirer un certain revenu du loyer de l'appartement. 15) a. Le 25 septembre 2019, MM. A______ et B______ ont maintenu leur position. La fraude avait été retenue uniquement par rapport au transfert, aux actionnaires, de la propriété des lots correspondant à leurs certificats, et non par rapport à l'aliénation initiale des certificats d'actions par G______ ou par rapport à la transformation de celle-ci en SIAL. Ces actes passés n'étaient pas soumis à la législation sur les démolitions, transformations et rénovations de maisons d'habitation, ou à admettre une violation de ladite législation, ces violations n'étaient pas graves, ni manifestes et, au regard de la sécurité du droit, n'engendraient pas la nullité. Le DT ne pouvait en tenir compte dans l'instruction de la demande d'aliénation litigieuse. G______ n'avait pas les moyens de racheter les actions. Le prix avait été fixé en tenant compte du fait que les actionnaires avaient dû participer aux coûts, importants, des travaux dans l'immeuble. b. Ils ont notamment produit les bilans de G______ aux 31 décembre 2017 et 2018 ainsi que des pièces destinées à démontrer le coût de travaux dans l'immeuble. 16) Le 27 septembre 2019, le DT a maintenu sa position. MM. A______ étaient perturbateurs par situation. Le DT était habilité à refuser toute transaction ne visant pas à rétablir une situation conforme au droit et ainsi à imposer à ces derniers de rester propriétaires de leur bien tant qu'une opération permettant de réparer la fraude à la loi n'était pas proposée et ce, même si MM. A______ n'avaient pas participé aux opérations frauduleuses par volonté délictuelle. 17)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MM. A______ possédant un seul lot dans l'immeuble, ni de motifs d'assainissement financier. La requête devait être examinée sous l'angle de la pesée des intérêts. MM. A______ et B______ ne démontraient pas que les cédants seraient financièrement dans l'urgence de céder leurs parts dans la SIAL. Le transfert n'avait pas pour effet de faire perdre l'affectation locative du logement, le titulaire du certificat d'actions restant légalement un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G______ à MM. A______. L'intérêt public n'était aucunement atteint par la cession litigieuse, l'opération n'ayant en outre aucun caractère spéculatif. Les cédants n'étaient pas des professionnels de l'immobilier et n'avaient pas compris les enjeux des opérations auxquelles ils avaient participé, ni eu conscience qu'elles étaient constitutives d'une fraude à la loi. Le refus d'autorisation d'aliéner les contraignait à rester propriétaires, ce qui entraînait un certain nombre de conséquences juridiques, de responsabilités et d'enjeux financiers dont ils pouvaient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G______. L'intérêt privé des cédants était suffisant pour autoriser l'aliénation. 18) Par acte du 26 juin 2020, le DT a recouru auprès de la chambre administrative contre ce jugement, concluant à son annulation et à la confirmation de son arrêté du 3 décembre 2018. Les cédants n'avaient pas démontré être financièrement dans l'urgence de céder leurs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 fait que les cédants ne soient pas des professionnels de l'immobilier ne démontrait pas qu'ils n'avaient pas compris les enjeux et n'avaient pas eu conscience qu'elles étaient constitutives d'une fraude à la loi. Vu la particularité de l'opération, dans laquelle une personne prêtait de l'argent à une autre personne pour que celle-ci lui achète quelque chose, il était peu probable que les cédants aient totalement ignoré les enjeux liés aux opérations effectuées. La situation devenait totalement inusuelle au stade considéré, puisque les cédants souhaitaient revendre le certificat d'actions appartenant à M. C______, acquis grâce à un emprunt auprès de ce dernier, à une autre société dont M. C______ était également administrateur président. Il s'agissait d'une forme d'opération de passe-passe au sein des avoirs de M. C______ permettant de matérialiser la fraude reconnue par le Tribunal fédéral. Une telle aliénation était contraire au but poursuivi par la loi. Le procédé d'individualisation, issu à l'origine de la fraude reconnue par le Tribunal fédéral, se perpétuerait par l'aliénation projetée. Les cédants n'étaient pas contraints de garder indéfiniment leur bien, puisqu'ils pourraient requérir une vente en faveur de G______, réparant ainsi la fraude à la loi. Aucun motif d'intérêt privé, des cédants ou de la cessionnaire, ne pouvait l'emporter sur l'intérêt public et général visant à préserver l'affectation locative du logement. 19) Par réponse du 17 juillet 2020, MM. A______ et B______ ont conclu à l'irrecevabilité du recours, subsidiairement à son rejet, et à la condamnation du DT aux dépens. Préalablement, ils demandaient la production par le DT des cinquante dernières décisions favorables d'octroi d'une autorisation d'aliéner un appartement. Ils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La cessionnaire était déjà titulaire d'un autre certificat d'actions. Le DT délivrait de nombreuses autorisations d'aliéner un seul appartement en y insérant une clause réservant une prochaine aliénation sur la base de l'autorisation ainsi accordée. Le DT avait contredit ses dernières écritures devant la TAPI en affirmant qu'il n'était pas démontré que MM. A______ n'avaient pas compris les enjeux et n'avaient pas eu conscience de l'existence d'une fraude à la loi. 20) Par réplique du 21 août 2020, le DT a maintenu ses conclusions. La vente apparaissait comme une opération spéculative ou purement commerciale, intérêt qui n'était pas prépondérant. L'audience avait démontré que le but initial était de faire sortir l'appartement du marché locatif. La fraude se perpétuerait par l'aliénation projetée. L'institution de la SIAL n'empêchait pas la perte de l'affectation locative, puisque cette forme était analogue à la PPE. Le nombre considérable d'appartements situés dans l'immeuble visés par des ventes d'actions de G______ à différentes personnes physiques et morales dont l'ayant droit économique était M. C______ démontrait une volonté de démanteler l'immeuble et, par conséquent, le parc locatif genevois. 21)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MM. A______ à céder à B______ le certificat d'actions n o 3______ de G______, conférant le droit de louer l'appartement n o 9______. 4) Les intimés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des cédants à vendre le certificat d'actions n o 4, emportant le droit de louer l'appartement n o 9______, à la cessionnaire et ceux de cette dernière à l'acquérir ainsi que, d'autre part, l'intérêt public à la protection du parc locatif genevois. Le TAPI a retenu que les intérêts invoqués par les intimés n'étaient pas « spécialement importants »,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 b. MM. A______ ont fait valoir, à l'appui de leur requête en autorisation d'aliéner, leur volonté de ne pas rester dans la SIAL suite à l'arrêt du Tribunal fédéral 1C_124/2017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MM.  A______ n'étaient pas partie à la procédure qui a donné lieu à l'arrêt du Tribunal fédéral 1C_124/2017 précité, de sorte que la constatation de fraude à la loi intervenue dans cette procédure ne leur est pas directement opposable. Néanmoins, l'acte de cession de 2013 mentionnait déjà la future modification des statuts et prévoyait en outre que l'échéance du « prêt vendeur », soit du prêt accordé par M. C______,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la loi, puisque, dans le montage tel que prévu initialement, il permettait aux protagonistes d'instaurer dans les faits le paiement en deux temps mais également à M. C______ de rester économiquement propriétaire des actions tant que la part de PPE n'était pas transférée et la SIAL liquidée. Ceci démontre que, contrairement à ce qu'a retenu l'instance précédente, les cédants n'étaient pas en marge du système mis en place mais y ont participé dès la conclusion de la première cession. MM. A______ ont d'ailleurs eux-mêmes confirmé cette appréciation en expliquant devant le TAPI qu'ils avaient initialement acheté les actions dans le but, après avoir « suiv[i] une procédure », de rentrer dans la PPE et donc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G______ a été transformée en SIAL postérieurement à l'achat des actions. Ils ont également expliqué avoir eu l'intention de rembourser le prêt en contractant une hypothèque sur leur part de PPE, confirmant le mécanisme de paiement en deux temps. Dans ce contexte, l'intérêt de MM. A______ à sortir d'un système dans lequel ils sont sciemment entrés, et mis en place afin de contourner la loi, ne peut en tant que tel être protégé. Quant au prétendu besoin de liquidités, réitéré lors de l'audience devant le TAPI, MM. A______ n'ont apporté aucune substance à leur allégation. Ils n'ont ainsi pas démontré l'état de leur situation financière ni expliqué pourquoi ils auraient besoin de ces liquidités. En réalité, il ressort de leurs déclarations lors de l'audience devant le TAPI que MM. A______ n'avaient pas de réel besoin de vendre leurs actions mais ont saisi l'opportunité lorsqu'elle s'est présentée. Ils ont en effet expliqué avoir entendu dire que les actions d'une société immobilière étaient difficiles à vendre et ont donc saisi la possibilité offerte par M. C______ de lui revendre leur certificat d'actions. Au vu de ce qui précède, les intérêts évoqués n'ont pas de substance et les cédants n'ont pas établi d'autres intérêts que leur pure convenance personnelle pour justifier leur volonté d'aliéner l'appartement. Il sera à cet égard constaté que les deux intérêts invoqués par MM. A______ dans leur requête d'autorisation d'aliéner sont en réalité des intérêts génériques qui ont également été invoqués pour d'autres aliénations d'actions de la même SIAL et d'une autre SIAL également liée à M. C______ dans des causes parallèles, dans la plupart des cas avec exactement les mêmes mots, ce qui ne fait que confirmer que leur intérêt relève en réalité de la convenance personnelle. c. En ce qui concerne les intérêts privés de la cessionnaire, les intimés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 de G______ (recte : M. C______) à MM. A______, puisque G______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donc pas moins qu'il s'agit d'une étape finale de la fraude à la loi mise sur pied dès l'origine et constatée par le Tribunal fédéral. Comme le souligne l'autorité recourante, le caractère insolite de l'ensemble des opérations est d'autant plus confirmé dans le cas d'espèce par l'omniprésence de M. C______. En effet, MM. A______ ont contracté un prêt auprès de M. C______ pour acheter à M. C______ des actions d'une première société dont M. C______ est administrateur président, G______, et qui a son siège auprès d'une deuxième société, E______, dont M. C______ est également administrateur président. MM. A______ souhaitent à présent revendre les actions de la première société, G______, après sa transformation en SIAL, à une troisième société dont M. C______ est aussi administrateur, B______, les deux parties se faisant de plus représenter, dans le cadre du litige sur l'autorisation d'aliéner, par E______. La requête en autorisation d'aliéner indique expressément qu'il s'agit en réalité d'une ré-acquisition par M. C______, ceci par l'intermédiaire de l'une de ses sociétés, les cédants ayant d'ailleurs indiqué que ce dernier leur avait offert l'opportunité de lui revendre leurs actions.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Il n'est au surplus pas établi que MM. A______ seraient devenus locataires. En effet, leur statut d'actionnaires de la SIAL leur confère le droit de louer l'appartement mais non l'obligation de le faire et le dernier avis de majoration de loyer figurant au dossier, postérieur à la première cession et à la transformation en SIAL, désigne G______ comme bailleresse, et non MM. A______. Le montage mis sur pied pour aboutir finalement, sans intérêt privé prépondérant, à l'individualisation de l'appartement, n'est que confirmé par la proximité temporelle avec laquelle d'autres actionnaires de la SIAL et d'une autre SIAL également liée à M. C______ - qui a fait l'objet de l'arrêt du Tribunal fédéral 1C_123/2017 du 23 novembre 2017 - ont également sollicité des autorisations d'aliéner leurs certificats d'actions, toujours à des sociétés ayant des liens avec M. C______.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C______, cédant en 2013, et non à G______, de sorte que la situation financière de cette dernière n'est pas pertinente. L'absence de moyens financiers de G______,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les cédants, telle qu'alléguée pour justifier de l'absence de caractère spéculatif du prix de vente, suggère par exemple que G______ n'aurait pas constitué de réserves pour les travaux, alors que leur prise en charge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 Pour le reste, s'il ne revient pas à l'autorité recourante, ni à la chambre de céans de trouver la solution permettant aux cédants de sortir de la situation dans laquelle ils se retrouvent du fait même de la tentative de fraude à la loi, il sera relevé que le rétablissement de la situation initiale apparaît d'autant plus aisé que M. C______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intimés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