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A/699/2024 vom 14. Mai 2025</w:t>
      </w:r>
    </w:p>
    <w:p>
      <w:r>
        <w:t>GE Cour de justice, 2025-05-14, FR</w:t>
      </w:r>
    </w:p>
    <w:p>
      <w:r>
        <w:rPr>
          <w:b/>
        </w:rPr>
        <w:t xml:space="preserve">Quelle: </w:t>
      </w:r>
      <w:r>
        <w:t>https://mcp.opencaselaw.ch/entscheid/ge_gerichte_A_699_2024</w:t>
      </w:r>
    </w:p>
    <w:p>
      <w:r>
        <w:t>FR: GE_GERICHTE A/699/2024 du 14 mai 2025</w:t>
      </w:r>
    </w:p>
    <w:p>
      <w:r>
        <w:t>IT: GE_GERICHTE A/699/2024 del 14 maggio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en temps utile, le recours est recevable (art. 60 LPGA).</w:t>
      </w:r>
    </w:p>
    <w:p>
      <w:r>
        <w:rPr>
          <w:b/>
        </w:rPr>
        <w:t>E. 2</w:t>
      </w:r>
    </w:p>
    <w:p>
      <w:r>
        <w:t>Le recours porte sur le bien-fondé de la décision de l’intimée de cesser ses prestations en recourant, en lien avec son accident du 17 juillet 2023, au 17 septembre 2023.</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Un second événement accidentel, non assuré, peut donner lieu à une obligation de prester de la part de l'assureur-accidents compétent pour le premier accident pour autant que le second constitue la conséquence adéquate du premier (ATF 148 V 356 consid. 6.2 et 6.3 et les références). L'admission de la causalité adéquate suppose, en tout cas, que l'état antérieur post-traumatique ait conduit à un risque accru d'accident (ATF 148 V 356 consid. 7.3.1).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356 consid. 3 ; 143 II 661 consid. 5.1.2 ; 139 V 156 consid. 8.4.2).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A117 V 359 consid. 5d/bb ; arrêt du Tribunal fédéral U 351/04 du 14 février 2006 consid. 3.2).</w:t>
      </w:r>
    </w:p>
    <w:p>
      <w:r>
        <w:rPr>
          <w:b/>
        </w:rPr>
        <w:t>E. 3.2</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125 V 195 consid. 2 ; RAMA 2000 n° U 363 p. 46).</w:t>
      </w:r>
    </w:p>
    <w:p>
      <w:r>
        <w:rPr>
          <w:b/>
        </w:rPr>
        <w:t>E. 3.3</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existerait même sans l'accident par suite d'un développement ordinaire ( statu quo sine ). A contrario ,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consid. 5.1 et les références ; arrêt du Tribunal fédéral 8C_606/2021 du 5 juillet 2022 consid. 3.2). Selon la jurisprudence, fixer le délai du retour au statu quo sine en se référant à l'évolution prévisible de l'atteinte à la santé d'une manière abstraite et théorique ne suffit pas pour établir - au degré de la vraisemblance prépondérante - l'extinction du lien de causalité avec l'accident en cause (arrêts du Tribunal fédéral 8C_481/2019 du 7 mai 2020 consid. 3.4 ; 8C_97/2019 du 5 août 2019 consid. 4.3.1. et 4.3.2 ; 8C_473/2017 du 21 février 2018 consid. 5).</w:t>
      </w:r>
    </w:p>
    <w:p>
      <w:r>
        <w:rPr>
          <w:b/>
        </w:rPr>
        <w:t>E. 3.4</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2006 n° U 570 p. 74 consid. 1.5.2 ; arrêt du Tribunal fédéral U 80/05 du 18 novembre 2005 consid.1.1). Il incombe à l'assuré d'établir, au degré de vraisemblance prépondérante, l'existence d'un rapport de causalité naturelle entre la nouvelle atteinte et l'accident. À cet égard, la jurisprudence considère que plus le temps écoulé entre l'accident et la manifestation de l'affection est long, et plus les exigences quant à la preuve, au degré de la vraisemblance prépondérante, du rapport de causalité naturelle doivent être sévères (arrêt du Tribunal fédéral 8C_302/2023 du 16 novembre 2023 consid. 6.1 et les références).</w:t>
      </w:r>
    </w:p>
    <w:p>
      <w:r>
        <w:rPr>
          <w:b/>
        </w:rPr>
        <w:t>E. 3.5</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142 V 58 consid. 5.1 et les références; 139 V 225 consid. 5.2 et les références;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3.6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125 V 193 consid. 2 et les références; cf. 130 III 321 consid. 3.2 et 3.3 et les références). Aussi n’existe-t-il pas, en droit des assurances sociales, un principe selon lequel l’administration ou le juge devrait statuer, dans le doute, en faveur de l’assuré (ATF 135 V 39 consid. 6.1 et la référence).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d'assurance sociales, le fardeau de la preuve incombe en principe à l'assureur-accidents (cf. ATF 146 V 51 consid. 5.1 et les références). Cette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8C_441/2017 du 6 juin 2018 consid. 3.3). À cet égard, est seul décisif le point de savoir si, au degré de la vraisemblance prépondérante (ATF 146 V 271 consid. 4.4), les causes accidentelles d'une atteinte à la santé ne jouent plus aucun rôle, ne serait-ce même que partiel (cf. ATF 142 V 435 consid. 1), et doivent ainsi être considérées comme ayant disparu (arrêt du Tribunal fédéral 8C_343/2022 du 11 octobre 2022 consid. 3.2 et les références).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au degré de la vraisemblance prépondérante du rapport de causalité naturelle doivent être sévères (SVR 2016 n° UV p. 55 consid. 2.2.2; cf. également arrêt du Tribunal fédéral 17 du 3 mai 2018 consid. 4.2).</w:t>
      </w:r>
    </w:p>
    <w:p>
      <w:r>
        <w:rPr>
          <w:b/>
        </w:rPr>
        <w:t>E. 4</w:t>
      </w:r>
    </w:p>
    <w:p>
      <w:r>
        <w:t>Le 21 octobre 2024, l’intimée a passé en revue la situation du recourant à compter de l’accident du 19 juin 2012 et dit que l’objet du litige était limité à la causalité des troubles du recourant au-delà du 17 septembre 2023 en lien avec l’accident du 17 juillet 2023 uniquement. La chambre de céans estime au contraire que l’atteinte à la santé persistante du recourant au moment de la décision querellée du 23 janvier 2024 devait également être examinée en lien avec les accidents précédents du recourant, dans la mesure où l’atteinte persistante du recourant pouvait être un cas de rechute ou de séquelles tardives d’un précédent accident, puisque le recourant a été blessé à plusieurs reprises au genou gauche. D’ailleurs, dans sa brève appréciation du 14 septembre 2023, le Dr E______ l’admet puisqu’il retenait qu’en l’absence de toute investigation complémentaire, en particulier sur le genou, il n’y avait pas de matérialité pour une rechute, sans préciser toutefois de quel accident. Le Dr E______ a exclu que les troubles invoqués par le recourant seraient imputables au degré de vraisemblance prépondérante à l’événement du 17 juillet 2023 – ce qu’il précisait néanmoins être possible « au degré de la vraisemblance prépondérante » –, au seul motif que le Dr K______ n’avait pas procédé à des investigations complémentaires, ce qui ne lui paraissait pas cohérent par rapport à sa description du status. Il n’indiquait pas sur quelle base il retenait que l’événement du 17 juillet 2023 avait cessé ses effets au 17 septembre 2023. Il ressort du rapport du Dr K______ du 4 août 2023 que les chutes subies par le recourant étaient la conséquence de l'accident du travail dont il avait été victime le 18 juin 2012. Il était selon lui impossible de considérer que la persistance de ses troubles au-delà du 17 septembre 2023 n'était plus en relation de causalité avec l'accident du 17 juillet 2023. L’intimée se fondait uniquement sur l'appréciation du Dr E______, qui n'avait pas examiné le recourant et qui ne pouvait donc pas constater qu'il n'y avait aucune atteinte structurelle suite à l'accident du 17 juillet 2023. Le Dr K______ considérait qu’au 4 août 2023, le recourant avait encore besoin d’un traitement, car de la morphine était nécessaire pour soulager ses douleurs, de sorte que l’intimée ne pouvait mettre fin à ses prestations au 17 septembre 2023. La chambre de céans retient que ce rapport du Dr K______ suffit à remettre en cause celui du Dr E______ du 14 septembre 2023, qui ne répond pas aux réquisits permettant de lui reconnaître une pleine valeur probante. Il en résulte qu’il n’était pas établi, au degré de la vraisemblance prépondérante, qu’au jour de la décision du 15 septembre 2023 et de la décision sur opposition du 23 janvier 2024, qui toutes deux se fondaient sur l’appréciation du Dr E______, les troubles que le recourant présentait n'étaient plus en relation de causalité, pour le moins probable, avec l'accident du 17 juillet 2023 ou avec un de ses accidents précédents. L’intimée ne pouvait ainsi clore le cas avec effet au 17 septembre 2023. Le recourant a fait l’objet par la suite, soit le 3 septembre 2024, d’une expertise du J______, qui a été ordonnée dans le cadre des suites de l’accident du 3 septembre 2013. Il résulte du rapport du J______ que les experts n’ont pas pris en compte l’accident du recourant du 18 juillet 2023. Cela s’explique sans doute par le fait que le recourant avait été très agressif lors de l’expertise avec un discours digressif qui n’a pas favorisé une bonne communication. L’on peut toutefois s’étonner que l’intimée n’ait pas communiqué aux experts son dossier relatif à la chute du 17 juillet 2023, dès lors que celle-ci avait atteint le genou gauche du recourant comme ses accidents précédents. De manière consensuelle, les experts orthopédiste et neurologue ont indiqué ne pas pouvoir retenir de manière probante un CRPS et que même si cette complication secondaire était survenue, ils pouvaient affirmer qu’en l’état actuel, elle n’avait laissé aucune séquelle. L’expert orthopédiste a indiqué, sous discussion, que « le principal » semblait être en lien avec l’événement du 19 juin 2012, qui avait probablement induit une entorse relativement importante des faisceaux ligamentaires talo-fibulaire antérieur et calcanéo-fibulaire, associée probablement à une déchirure du LCA du genou gauche. Le résultat avait été la nécessité de trois interventions au niveau de la cheville gauche et de six interventions au genou gauche, dont la plus importante le 2 octobre 2018, sous la forme d’une plastie du LCA. Il y avait eu ensuite une ablation du matériel d’ostéosynthèse, au niveau fémoral, puis au niveau tibial. À cela, s’étaient encore ajoutées deux interventions de résection de plica et une dernière, de nettoyage modéré cartilagineux et méniscal externe. Les experts avaient constaté que le résultat au niveau du genou semblait satisfaisant, voire bon. Cela pouvait être affirmé par le fait qu’il n’était pas inflammatoire et qu’il n’y avait pas d’épanchement intra-articulaire ni aucun signe de surcharge fémoro-patellaire significative. Le dernier bilan photographique de l’intervention de mai 2024 montrait peu d’atteinte cartilagineuse pour un travailleur de force âgé de 51 ans, avec des ménisques encore tout à fait corrects. Quant à la plastie, si elle semblait un peu détendue, elle paraissait encore être fonctionnelle puisque, sous narcose lors de cette intervention, l’opérateur n’avait pas obtenu de ressaut pathologique. Malgré les déplacements de l’assuré avec une canne anglaise à gauche et une genouillère, il avait été constaté que sa musculature était tout à fait correcte et quasiment symétrique par rapport au côté controlatéral. Il ne manquait qu’un centimètre de diamètre au niveau de la cuisse gauche, ce qui était une évolution tout à fait habituelle et banale post plastie du LCA. Concernant le CRPS, les experts avaient noté qu’il n’existait plus aucune hyperalgésie ou allodynie, ni œdème, asymétrie ou variation de la sudation et de la température d’un côté par rapport à l’autre. Il n’y avait pas non plus d’asymétrie de la coloration cutanée ni trouble trophique, tel qu’une hyper pilosité ou une asymétrie unguéale, pas plus qu’une atrophie du tissu sous-cutané. La marche, elle se faisait sans boiterie et la diminution d’amplitude n’était qu’à partir de 100° à gauche. En conséquence, il était certain que les critères de Budapest concernant un CRPS n’étaient pas remplis et que si ce diagnostic était réellement survenu, il était guéri sans aucune séquelle. Quand bien même les experts n’ont pas pris en compte l’évènement du 18 juillet 2023, ils ont examiné le recourant et leur rapport, qui répond aux réquisits permettant de lui reconnaître une pleine valeur probante, établit, au degré de la vraisemblance prépondérante, que le recourant ne souffrait plus d’un CRPS à la date de leur examen, le 3 septembre 2024. Les conclusions de l’expertise du J______ ne sont pas remises en cause par le rapport établi le 4 novembre 2024 par le Dr K______. En effet, dans ce rapport, ce médecin contestait la fin du paiement des soins médicaux et des indemnités journalières au 1 er août 2023 selon la décision par l’intimée du 14 juillet 2023. Or cette décision est entrée en force, faute d’avoir été contestée par le recourant, qui n’a contesté que l’IPAI accordée par la suite par décision du 28 septembre 2023. Par ailleurs, le Dr K______ rappelait que la chambre de céans avait considéré que le médecin d’assurance ne pouvait pas écarter le diagnostic de CRPS, ce qui est exact mais incomplet, puisqu’entre temps l’expertise du J______ s’est prononcée sur cette question, de façon probante. Seule se pose en l’espèce la question de savoir si l’événement du 18 juillet 2023 justifiait encore le versement de frais médicaux et d’indemnités journalières au-delà du 17 septembre 2023 ou si l’intimée doit prendre en charge ces frais sur la base d’une rechute d’un accident précédent couvert par elle. L’attestation de La maison départementale de Saône-et-Loire des personnes handicapées du 16 octobre 2024, selon laquelle le taux d’incapacité du recourant se situait entre 50 et 80%, qui n’est pas médicale ne remet pas en cause les conclusions du J______, pas plus que le compte rendu opératoire du 8 octobre 2024 qui concerne une intervention du Dr K______ sans rapport avec le genou du recourant. Enfin, le rapport établi par le Dr L______, psychiatre, en novembre 2024, ne permet pas non plus de retenir que le recourant a droit à des prestations de l’intimée après le 17 septembre 2023. Ce rapport indique que le recourant souffrait d’un état de stress post-traumatique aigu, d’une dépression de l’humeur secondaire à cet état et d’un état douloureux chronique et qu’il n’était pas en état de travailler à la fois sur le plan physique et psychique. En effet, comme déjà indiqué, le recourant ne peut plus remettre en cause la décision du 28 septembre 2023, sous réserve de l’IPAI. Il est en outre évident que son accident du 18 juillet 2023 est sans effet sur son état psychique. On peut ainsi retenir, sur la base de l’expertise du J______, qu’à la date de son examen par les experts, soit le 3 septembre 2024, le recourant n’était plus atteint dans sa santé par les suites de l’accident du 17 septembre 2023, ni par une éventuelle séquelle tardive ou rechute d’un de ses accidents précédents.</w:t>
      </w:r>
    </w:p>
    <w:p>
      <w:r>
        <w:rPr>
          <w:b/>
        </w:rPr>
        <w:t>E. 5</w:t>
      </w:r>
    </w:p>
    <w:p>
      <w:r>
        <w:t>Au vu de ce qui précède, le recours doit être partiellement admis et la décision querellée réformée, dans le sens que le droit du recourant aux prestations de l’intimée liées à l’évènement du 17 septembre 2023 prend fin au 3 septembre 2024 et non au 17 septembre 2023. Une indemnité de CHF 1'500.- sera allouée au recourant pour ses dépens, à la charge de l’intimée.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