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A/699/2022 vom 7. März 2022</w:t>
      </w:r>
    </w:p>
    <w:p>
      <w:r>
        <w:t>GE Cour de justice, 2022-03-07, FR</w:t>
      </w:r>
    </w:p>
    <w:p>
      <w:r>
        <w:rPr>
          <w:b/>
        </w:rPr>
        <w:t xml:space="preserve">Quelle: </w:t>
      </w:r>
      <w:r>
        <w:t>https://mcp.opencaselaw.ch/entscheid/ge_gerichte_A_699_2022</w:t>
      </w:r>
    </w:p>
    <w:p>
      <w:r>
        <w:t>FR: GE_GERICHTE A/699/2022 du 7 mars 2022</w:t>
      </w:r>
    </w:p>
    <w:p>
      <w:r>
        <w:t>IT: GE_GERICHTE A/699/2022 del 7 marzo 2022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07.03.2022 A/699/2022</w:t>
      </w:r>
    </w:p>
    <w:p>
      <w:r>
        <w:t>A/699/2022 ATAS/201/2022 du 07.03.2022 ( LPP ) , RETIRE rÉpublique et canton de genÈve POUVOIR JUDICIAIRE A/699/2022 ATAS/201/2022 COUR DE JUSTICE Chambre des assurances sociales Arrêt du 7 mars 2022 4 ème Chambre En la cause Monsieur A______, domicilié à GENÈVE, comparant avec élection de domicile en l'étude de Maître Rémy BUCHELER demandeur contre CAISSE DE PRÉVOYANCE DE L'ÉTAT DE GENÈVE, sise boulevard de Saint-Georges 38, GENÈVE AUTORITÉ CANTONALE DE SURVEILLANCE DES FONDATIONS ET DES INSTITUTIONS DE PRÉVOYANCE, sise rue de Lausanne 63, GENÈVE défenderesses Vu la demande en paiement du 1 er mars 2022 de Monsieur A______ (ci-après le demandeur) contre la Caisse de prévoyance de l’État de Genève (CPEG) et l’Autorité cantonale de surveillance des fondations et des institutions de prévoyance (ASFIP) Genève ; Attendu que par courrier du 3 mars 2022, le demandeur a retiré sa demande ; Qu'il convient d'en prendre acte et de rayer la cause du rôle ; Vu l'art. 133 al. 3 et 4 let. a de la loi sur l’organisation judiciaire du 26 septembre 2010 (LOJ - E 2 05). PAR CES MOTIFS, La prÉsidente DE LA CHAMBRE DES ASSURANCES SOCIALES : 1.        Prend acte du retrait de la demande.![endif]&gt;![if&gt; 2.        Raye la cause du rôle.![endif]&gt;![if&gt; La greffière Isabelle CASTILLO La présidente Catherine TAPPONNIER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