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A/699/2016 vom 24. Juli 2018</w:t>
      </w:r>
    </w:p>
    <w:p>
      <w:r>
        <w:t>GE Cour de justice, 2018-07-24, FR</w:t>
      </w:r>
    </w:p>
    <w:p>
      <w:r>
        <w:rPr>
          <w:b/>
        </w:rPr>
        <w:t xml:space="preserve">Quelle: </w:t>
      </w:r>
      <w:r>
        <w:t>https://mcp.opencaselaw.ch/entscheid/ge_gerichte_A_699_2016</w:t>
      </w:r>
    </w:p>
    <w:p>
      <w:r>
        <w:t>FR: GE_GERICHTE A/699/2016 du 24 juillet 2018</w:t>
      </w:r>
    </w:p>
    <w:p>
      <w:r>
        <w:t>IT: GE_GERICHTE A/699/2016 del 24 luglio 2018</w:t>
      </w:r>
    </w:p>
    <w:p>
      <w:pPr>
        <w:pStyle w:val="Heading2"/>
      </w:pPr>
      <w:r>
        <w:t>Regeste</w:t>
      </w:r>
    </w:p>
    <w:p>
      <w:r>
        <w:t>DROIT FISCAL ; IMPÔT FÉDÉRAL DIRECT ; IMPÔT CANTONAL ET COMMUNAL ; CALCUL DE L'IMPÔT ; IMMEUBLE ; DÉDUCTION DU REVENU(DROIT FISCAL) ; DÉDUCTION POUR FRAIS D'ENTRETIEN D'IMMEUBLE | Le TAPI a correctement apprécié les éléments du dossier sauf deux éléments devant être considérés comme une augmentation du niveau de confort, allant au-delà d'une remise en l'état (aménagement d'une douche et installation de velux). Ces frais ne sont pas déductibles. Recours partiellement admis. | LIFD.32.al1; LHID.9.al3; LIPP.34.letd</w:t>
      </w:r>
    </w:p>
    <w:p>
      <w:pPr>
        <w:pStyle w:val="Heading2"/>
      </w:pPr>
      <w:r>
        <w:t>Erwägungen</w:t>
      </w:r>
    </w:p>
    <w:p>
      <w:r>
        <w:rPr>
          <w:b/>
        </w:rPr>
        <w:t>E. 12</w:t>
      </w:r>
    </w:p>
    <w:p>
      <w:r>
        <w:t>septembre 1985 - LPA - E 5 10 ; art. 7 al. 2 de la loi de procédure fiscale du 4 octobre 2001 - LPFisc - D 3 17).![endif]&gt;![if&gt; 2) Le litige porte sur la période fiscale 2012 et sur la déductibilité au titre de frais d’entretien d’immeubles, de l’intégralité du coût des travaux effectués durant cette période dans le bien immobilier appartenant aux intimés, soit CHF 336'042.-.![endif]&gt;![if&gt;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b. L’imposition concerne l’exercice fiscal 2012. Sont ainsi applicables : en matière d’IFD, les dispositions de la loi fédérale sur l’impôt fédéral direct du 14 décembre 1990 (LIFD - RS 642.11), et en matière d’ICC, celles de la loi fédérale sur l’harmonisation des impôts directs des cantons et des communes du 14 décembre 1990 (LHID - RS 642.14) et de la loi sur l'imposition des personnes physiques du 27 septembre 2009 (LIPP - D 3 08).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a. Le contribuable qui possède des immeubles privés peut déduire les frais nécessaires à leur entretien, les frais de remise en état d'immeubles acquis récemment, les primes d’assurances relatives à ces immeubles et les frais d’administration par des tiers (art. 32 al. 1 1 ère phrase LIFD).![endif]&gt;![if&gt; b.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5) Il ressort des dispositions précitées que les dépenses servant au maintien de la valeur du bien immobilier sont déductibles, alors que celles qui lui apportent une plus-value ne le sont pas (Peter AGNER/Beat JUNG/Gotthard STEINMANN, Commentaire de loi sur l'impôt fédéral direct, 2001, p. 120).![endif]&gt;![if&gt; Les frais d’entretien au sens étroit sont essentiellement ceux qui sont encourus pour des travaux destinés à compenser l’usure normale de la chose due à son usage et à l’écoulement du temps et à maintenir l’état d’entretien original du bien. Il s’agit de maintenir la source du revenu que représente le bien immobilier pour le contribuable (Nicolas MERLINO, in Danièle YERSIN/Yves NOËL, Commentaire romand de la loi fédérale sur l’impôt fédéral direct, 2008, ad. art. 32, p. 490). Ils se subdivisent en frais d’entretien courants, en frais de remise en état et en coûts de remplacement de vieilles installations. Les premiers correspondent à des dépenses courantes dans le but de conserver les fonctionnalités de l’immeuble, telles de petites réparations. Les frais de remise en état visent à maintenir la capacité de rendement du bien immobilier (rénovation de façade, changement de tapisserie, de sols, etc.). Enfin, il y a les coûts de remplacement de vieilles installations, parmi lesquelles l’on peut citer les installations sanitaires, le chauffage et la cuisine (Nicolas MERLINO, op. cit., p. 490 - 491). Pour que ces frais soient déductibles, l’art. 32 al. 2 aLIFD n’exige toutefois pas qu’ils soient absolument nécessaires à un moment précis. Il suffit en principe que l’on soit objectivement en présence de travaux d’entretien, dans le sens défini ci-dessus, qui sont nécessaires et doivent être effectués tôt ou tard dans une fourchette temporelle aux alentours des échéances susmentionnées, pour qu’il s’agisse de frais d’entretien déductibles (Nicolas MERLINO, op. cit., p. 491-492 et les références citées). Dans les cas de rénovation partielle ou intégrale de l’immeuble, les dépenses consenties ne visent pas à conserver l’immeuble dans un état qui permette de l’utiliser ou dans l’état convenu contractuellement jusqu’alors, mais à améliorer une source de revenu (ATF 123 II 218 consid. 1c ; RDAF 2005 II p. 230). En résumé, à teneur des dispositions précitées, si l’on retient que des travaux effectués sur un immeuble contribuent à l’amélioration de celui-ci, ils tombent sous le coup de l’art. 34 let. d aLIFD et ne sont pas déductibles. On parle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 de travaux d’entretien, déductibles du revenu imposable au titre de frais d’acquisition du revenu (art. 32 al. 2 aLIFD ; Nicolas MERLINO, op. cit., p. 563). 6) a. Sous l’égide du droit en vigueur jusqu’au 1 er janvier 2010, le Tribunal fédéral avait développé une pratique restrictive dénommée « pratique Dumont » quant à la prise en compte fiscale des travaux de rénovation d’un bien immobilier récemment acquis, selon laquelle, les dépenses d'amélioration d’un tel bien, y compris les frais d'entretien au sens technique, engagés dans les cinq ans à compter de son acquisition pour sa remise en état n’étaient pas déductibles, que l’immeuble en question ait été ou non entrenu régulièrement. En effet, ces frais étaient considérés comme des impenses apportant une plus-value et ne pouvaient venir en déduction du revenu imposable (ATF 99 Ib 362 ). Dans un arrêt du 24 avril 1997, le Tribunal fédéral avait toutefois admis un assouplissement de cette pratique, dans l’hypothèse où le vendeur avait toujours entretenu et maintenu en bon état son immeuble. En d’autres termes, les frais liés à des travaux d’entretien périodiques effectués sur un immeuble maintenu jusque là en bon état étaient immédiatement déductibles. En revanche, des frais provoqués par le rattrapage de travaux négligés jusqu’ici ne l’étaient pas (ATF 123 II 218 ou RDAF 1997 II 582 ). Ainsi, selon la jurisprudence, la transformation de la salle de bains, de la cuisine, des sols, des parois et des plafonds, en raison de l’état « misérable » d’un immeuble constituait des frais de remise en l’état non déductibles car il s’agissait de l’acquisition d’un immeuble laissé à l’abandon. On devait d’ailleurs, en cas de rénovation globale d’un tel immeuble, présumer que l’ensemble des dépenses revêtaient un caractère d’amélioration des éléments de la fortune (Xavier OBERSON, Droit fiscal suisse, 2007, p.150 ; RDAF 2005 II p.231).![endif]&gt;![if&gt; b. La « pratique Dumont » a été abandonnée, lors de l’entrée en vigueur de l’art. 32 al. 2 LIFD et de la LIPP le 1 er janvier 2010. L’abrogation de cette pratique ne change cependant rien au principe, repris par la législation actuelle, selon lequel seules les dépenses destinées à préserver la valeur d’un bien sont admises en déduction de l’impôt sur le revenu. Celles qui, en revanche, apportent une plus-value, ne peuvent être déduites. Il convient d’apprécier chaque cas de manière concrète pour déterminer dans quelle catégorie les coûts de travaux doivent être classés (ATF 2C_558/2016 du 24 octobre 2017 consid. 2.3 et 2.4). 7) En l’espèce, le TAPI a fondé son appréciation sur les pièces du dossier et sur les enquêtes qu’il a ordonnées, en particulier les témoignages de deux architectes ayant visité le bien immobilier en cause avant travaux pour l’un, après les travaux pour l’autre, du conducteur des travaux et de l’installateur sanitaire ayant procédé au remplacement des éléments sanitaires, à la réfection des murs et carrelages dans les salles d’eau ainsi que de faux plafonds abîmés.![endif]&gt;![if&gt; Il ressort de ces témoignages que la typologie des pièces n’a pas été modifiée et qu’aucun espace habitable supplémentaire n’a été créé. L’architecte ayant visité la maison avant travaux, intervenu pour l’AFC-GE afin de procéder à son estimation pour la taxation de la valeur successorale, lui a attribué un taux de vétusté maximum et a estimé « grossièrement à quelques centaines de milliers de francs plutôt qu’à quelques dizaines, les montants à investir dans une telle maison pour qu’elle redevienne habitable ». Les matériaux utilisés pour les travaux sont de qualité mais pas luxueux. Des installations ont été mises en conformité aux normes techniques et/ou légales. Deux éléments toutefois doivent être considérés, au vu de la jurisprudence susmentionnée, comme une augmentation du niveau de confort, allant au-delà d’une remise en état : l’aménagement d’une douche au rez-de-chaussée, là où il n’y avait à l’origine qu’une installation WC-lavabo, d’une part, et, d’autre part, l’installation de velux en remplacement des petites fenêtres existantes dans le toit des combles habitables. Hormis sur ces deux points, il n’y a pas lieu de remettre en question l’appréciation du TAPI. 8) Au vu de ce qui précède, le recours sera partiellement admis. Le jugement querellé sera annulé en ce qu’il admet la déductibilité des frais des travaux d’aménagement d’une douche au rez-de-chaussée du bien immobilier en cause et les frais des travaux d’installation de velux dans la toiture.![endif]&gt;![if&gt; Cela emporte une modification des frais de procédure devant le TAPI, les contribuables devant être astreints à payer un émolument réduit de CHF 300.- devant cette juridiction. 9) Vu l’issue du litige, un émolument de CHF 800.- sera mis à la charge des intimés (art. 87 al. 1 LAP) incluant l’émolument de première instance. Aucune indemnité ne leur sera allouée, dès lors qu’ils agissent en personne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