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A/698/2023 vom 4. Juni 2024</w:t>
      </w:r>
    </w:p>
    <w:p>
      <w:r>
        <w:t>GE Cour de justice, 2024-06-04, FR</w:t>
      </w:r>
    </w:p>
    <w:p>
      <w:r>
        <w:rPr>
          <w:b/>
        </w:rPr>
        <w:t xml:space="preserve">Quelle: </w:t>
      </w:r>
      <w:r>
        <w:t>https://mcp.opencaselaw.ch/entscheid/ge_gerichte_A_698_2023</w:t>
      </w:r>
    </w:p>
    <w:p>
      <w:r>
        <w:t>FR: GE_GERICHTE A/698/2023 du 4 juin 2024</w:t>
      </w:r>
    </w:p>
    <w:p>
      <w:r>
        <w:t>IT: GE_GERICHTE A/698/2023 del 4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confirmée par le TAPI, refusant le renouvellement de l'autorisation de séjour du recourant.</w:t>
      </w:r>
    </w:p>
    <w:p>
      <w:r>
        <w:rPr>
          <w:b/>
        </w:rPr>
        <w:t>E. 2.1</w:t>
      </w:r>
    </w:p>
    <w:p>
      <w:r>
        <w:t>Le 1 er janvier 2019 est entrée en vigueur une modification de la loi sur les étrangers du 16 décembre 2005 (LEtr), qui a alors été renommée LEI, et de l'OASA. Conformément à la règle générale posée à l'art. 126 al. 1 LEI, c'est le nouveau droit matériel qui est applicable en la cause, dès lors que l’OCPM a informé le recourant de son intention de ne pas prolonger son autorisation de séjour le 10 mars 2022 (arrêts du Tribunal fédéral 2C_145/2022 du 6 avril 2022 consid.  5 ; 2C_586/2020 du 26 novembre 2020 consid. 3.1 et les arrêts cités).</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l'Éthiopie.</w:t>
      </w:r>
    </w:p>
    <w:p>
      <w:r>
        <w:rPr>
          <w:b/>
        </w:rPr>
        <w:t>E. 2.3</w:t>
      </w:r>
    </w:p>
    <w:p>
      <w:r>
        <w:t>Selon l'art. 50 al. 1 LEI, après dissolution de la famille, le droit du conjoint et des enfants à l’octroi d’une autorisation de séjour et à la prolongation de sa durée de validité en vertu des art. 42 (membres étrangers de la famille d’un ressortissant suisse) et 43 (conjoint et enfants étrangers du titulaire d’une autorisation d’établissement) subsiste lorsque l’union conjugale a duré au moins trois ans et que les critères d’intégration définis à l’art. 58 a LEI sont remplis (let. a), ou lorsque la poursuite du séjour en Suisse s’impose pour des raisons personnelles majeures (let. b). L'art. 49 LEtr permet cependant de faire exception à l'exigence du ménage commun lorsque la communauté conjugale est maintenue et que des raisons majeures justifiant l'existence de domiciles séparés peuvent être invoquées (cf. arrêt du Tribunal fédéral 2C_488/2010 du 2 novembre 2010 consid. 3.2). Celui qui se prévaut de l'art. 49 LEtr doit faire valoir et, dans la mesure du possible, démontrer que la communauté familiale subsiste, même si les époux vivent séparés pour des raisons majeures (arrêt du Tribunal fédéral 2C_50/2010 du 17 juin 2010 consid. 2.2). En effet, le but de l'art. 49 LEtr n'est pas de permettre aux époux étrangers de vivre séparés en Suisse pendant une longue période et exige que la communauté familiale soit maintenue (arrêt du Tribunal fédéral 2C_50/2010 du 17 juin 2010 consid. 2.3.2).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ATA/1091/2018 du 16 octobre 2018 consid. 5a).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rPr>
          <w:b/>
        </w:rPr>
        <w:t>E. 2.4</w:t>
      </w:r>
    </w:p>
    <w:p>
      <w:r>
        <w:t>À teneur de l'art. 31 al. 1 OASA, lors de l'appréciation de l'existence d'un cas d'extrême gravité, il convient de tenir compte notamment : a) de l’intégration du requérant sur la base des critères d’intégration définis à l’art. 58 a al. 1 LEI ; c) de la situation familiale, particulièrement de la période de scolarisation et de la durée de la scolarité des enfants ; d) de la situation financière ; e) de la durée de la présence en Suisse ; f) de l'état de santé ; g) des possibilités de réintégration dans l'État de provenance. Selon l'art. 58 a al. 1 LEI, pour évaluer l’intégration, l’autorité compétente tient compte des critères suivants : a) le respect de la sécurité et de l’ordre publics ; b) le respect des valeurs de la Constitution ; c) les compétences linguistiques et d) la participation à la vie économique ou l’acquisition d’une formation. Les critères énumérés par l'art. 31 al. 1 OASA pour apprécier l'existence d'un cas individuel d'extrême gravité,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5.6.12). À elles seules, la longue durée du séjour et l'intégration (travail régulier, absence de condamnations et de dépendance à l'aide sociale) ne suffisent pas à rendre la poursuite du séjour imposable au sens de l'art. 50 al. 1 let. b LEI ( ATA/192/2021 précité consid. 9 ; ATA/775/2018 du 24 juillet 2018 consid. 4d et les références citées).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ATA/192/2021 du 23 février 2021 consid. 9d). Alternativement,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ATA/1279/2019 du 27 août 2019 consid. 5f). 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w:t>
      </w:r>
    </w:p>
    <w:p>
      <w:r>
        <w:rPr>
          <w:b/>
        </w:rPr>
        <w:t>E. 3</w:t>
      </w:r>
    </w:p>
    <w:p>
      <w:r>
        <w:t>En l’espèce, le recourant conteste que la durée de son union conjugale serait inférieure à trois ans. Il soutient que « divers documents » permettent de considérer que la vie conjugale avec son épouse a pris fin en décembre 2019. Aucune pièce au dossier ne vient toutefois étayer cet allégué. Marié depuis le 31 décembre 2015, le recourant est arrivé en Suisse le 29 mai 2016. La cohabitation en Suisse avec son épouse a ainsi débuté à cette date, ce qui n’est pas contesté. Les parties s’opposent en revanche sur la date de fin de leur communauté de vie. Entendu devant la police le 4 janvier 2019, le recourant a indiqué qu’il vivait avec sa femme et sa sœur. Dans un courrier du 20 août 2021, le SPAd a informé l’OCPM que l’épouse du recourant était en Allemagne depuis juillet 2018. Par courrier du 2 mai 2022, le recourant a informé l’OCPM que son épouse s’était rendue en Allemagne en février 2019 et qu’elle lui avait annoncé, fin 2019, qu’elle n’entendait pas revenir en Suisse. Ainsi, dans l’hypothèse la plus favorable au recourant, la communauté de vie du couple s’est terminée au plus tard en février 2019, par le départ de son épouse du logement familial. Comme indiqué supra , la limite légale de trois ans se calcule dès le début de la cohabitation effective des époux en Suisse et s’achève au moment où les époux cessent d’habiter sous le même toit. Le fait que le recourant considérait que leur relation était toujours effective malgré le départ de son épouse pour l’Allemagne n’est ainsi pas déterminant. Le recourant n’a en particulier pas démontré que la communauté familiale subsistait malgré la distance et qu’ils vivaient séparés pour des raisons majeures. Dans ces circonstances, le recourant ne peut se prévaloir de l'art. 50 al. 1 let. a LEI, sans qu'il soit au surplus nécessaire de se demander s'il remplit la condition de l'intégration réussie. Le recourant ne se trouve pas davantage dans une situation où la poursuite de son séjour en Suisse s’imposerait pour des raisons personnelles majeures au sens de l’art. 50 al. 1 let. b LEI. Il n’invoque en particulier aucun élément propre à démontrer qu’il serait confronté à des obstacles majeurs en retournant dans son pays d'origine. Comme l’a retenu la juridiction cantonale, il ne peut se prévaloir d’un séjour de très longue durée, étant précisé que depuis le 28 mai 2019, il ne séjourne en Suisse qu’au bénéfice d’une simple tolérance. Son intégration ne saurait être considérée comme réussie. Si, comme il l’indique, ses problèmes de santé l’ont empêché d’intégrer le marché de l’emploi, il ne démontre pas s’être investi dans la vie culturelle, associative ou sportive du pays. Il ne prétend pas maîtriser la langue française, étant précisé que lors de son audition devant le TPAE, son frère a fait office de traducteur. Il a certes des attaches en Suisse, en particulier son frère et sa sœur. Or, s’agissant de sa sœur, une mesure d’éloignement a été prononcée à son encontre lui interdisant de la contacter ou d’approcher d’elle en raison de violences domestiques. Il paraît enfin peu vraisemblable qu’il n’ait plus aucune attache en Éthiopie, étant rappelé qu’il a quitté le pays à l’âge de 47 ans et qu’il y a donc vécu la plus grande partie de sa vie. En définitive, et comme l’a retenu le TAPI, le seul critère qui peut être retenu au sens de l’art. 31 al. 1 OASA est son état de santé. Or, ainsi que l’a relevé le Tribunal fédéral, une grave maladie ne saurait justifier, à elle seule, la reconnaissance d'un cas de rigueur, l'aspect médical ne constituant qu'un élément parmi d'autres. Ainsi, bien que les problèmes de santé du recourant paraissent revêtir une gravité non négligeable, force est de constater que les autres éléments d’appréciation au sens de l’art. 31 al. 1 OASA ne parlent pas en faveur de la reconnaissance d’un cas individuel d’une extrême gravité. Comme déjà exposé, le recourant, dont la durée de son séjour légal en Suisse n’est pas particulièrement longue, ne peut se prévaloir d’une intégration socio-professionnelle dans ce pays. Il s’impose d’ailleurs de rappeler que les motifs médicaux constituent avant tout un obstacle à l’exécution du renvoi au sens de l’art. 83 al. 4 LEI. Le TAPI l’a d’ailleurs admis, confirmant l’appréciation de l’OCPM selon laquelle, compte tenu des informations reçues de l’Ambassade de Suisse en Éthiopie, son renvoi dans ce pays n’était pas raisonnablement exigible. Il a dès lors renvoyé le dossier à l’OCPM afin qu’il le soumette au SEM avec un préavis favorable à une admission provisoire. Au vu de ces circonstances, la situation du recourant ne réalise pas les conditions strictes permettant d'admettre l'existence de raisons personnelles majeures, comme l'a retenu à juste titre l'autorité intimée, confirmée en cela par le TAPI, qui n'a ainsi pas mésusé de son large pouvoir d'appréciation en lui refusant une autorisation de séjour pour cas de rigueur aux sens des art. 50 al. 1 let. b LEI et 31 al. 1 OASA. Cette conclusion s’impose même en faisant abstraction des critères de la situation financière et de l’intégration professionnelle, étant précisé que la dépendance à l’aide sociale et l’absence d’activité lucrative paraissent en grande partie dues à sa maladie. Mal fondé, le recours sera rejeté. S’agissant enfin de la décision de renvoi (art. 64 al. 1 let. c LEI), le recourant ne remet pas en cause l’appréciation de l’OCPM, suivie par le TAPI, selon laquelle il remplit les conditions d’une admission provisoire. Le jugement sera dès lors également confirmé sur ce point.</w:t>
      </w:r>
    </w:p>
    <w:p>
      <w:r>
        <w:rPr>
          <w:b/>
        </w:rPr>
        <w:t>E. 4</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