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A/697/2015 vom 31. Oktober 2017</w:t>
      </w:r>
    </w:p>
    <w:p>
      <w:r>
        <w:t>GE Cour de justice, 2017-10-31, FR</w:t>
      </w:r>
    </w:p>
    <w:p>
      <w:r>
        <w:rPr>
          <w:b/>
        </w:rPr>
        <w:t xml:space="preserve">Quelle: </w:t>
      </w:r>
      <w:r>
        <w:t>https://mcp.opencaselaw.ch/entscheid/ge_gerichte_A_697_2015</w:t>
      </w:r>
    </w:p>
    <w:p>
      <w:r>
        <w:t>FR: GE_GERICHTE A/697/2015 du 31 octobre 2017</w:t>
      </w:r>
    </w:p>
    <w:p>
      <w:r>
        <w:t>IT: GE_GERICHTE A/697/2015 del 31 ottobre 2017</w:t>
      </w:r>
    </w:p>
    <w:p>
      <w:pPr>
        <w:pStyle w:val="Heading2"/>
      </w:pPr>
      <w:r>
        <w:t>Regeste</w:t>
      </w:r>
    </w:p>
    <w:p>
      <w:r>
        <w:t>AUTORISATION OU APPROBATION(EN GÉNÉRAL) ; DÉCISION FINALE ; DÉCISION INCIDENTE ; DROIT D'ÊTRE ENTENDU ; CONSTRUCTION ET INSTALLATION ; VILLA ; ZONE DE DÉVELOPPEMENT ; BUT D'INTÉRÊT GÉNÉRAL ; VENTE D'IMMEUBLE ; LOGEMENT ; LOGEMENT SOCIAL ; MARCHÉ LOCATIF ; PRIX ; TERRAIN ; CONTRÔLE FINANCIER ; BUDGET ; GARANTIE DE LA PROPRIÉTÉ ; LIBERTÉ ÉCONOMIQUE ; PRATIQUE JUDICIAIRE ET ADMINISTRATIVE ; PRIX DE L'OUVRAGE ; POUVOIR D'APPRÉCIATION ; ÉCOULEMENT DES EAUX ; DÉFAUT DE LA CHOSE ; VICE DE CONSTRUCTION ; HYPOTHÈQUE LÉGALE DES ARTISANS ET ENTREPRENEURS ; DROIT PRIVÉ ; COMPÉTENCE | Recours contre le jugement du TAPI annulant partiellement une décision d'accord définitif de vente en zone de développement et renvoyant la cause au DALE pour nouvelle décision. Le jugement et la décision litigieuse constituent des décisions finales. Le grief de violation de l'art. 78 RGL est rejeté vu le manque de collaboration des promoteurs et dans la mesure où une éventuelle violation du droit d'être entendu a été réparée auprès du TAPI. Le contrôle du prix du terrain est conforme à l'art. 5 LGZD, qui en constitue une base légale suffisante. Les postes du plan financier définitif concernant le prix du terrain, les équipements réalisés ou non et les imprévus, tel qu'agréés ou rejetés par le TAPI, l'ont été à juste titre. En conséquence, il convient de recalculer les montants des honoraires et de la marge de bénéfice et risques des promoteurs, ce que la chambre administrative est en mesure de faire. Le recours de la société est donc admis très partiellement sur ce point. Le recours des acquéreurs est rejeté, étant donné que la LGZD n'instaure pas de contrôle étatique de la responsabilité contractuelle des intervenants et qu'il n'appartient pas à l'OCLPF de réduire la marge des promoteurs en raison d'éventuels défauts de construction ou de paiement des sous-traitants, questions qui relèvent de la compétence des juridictions civiles. | LTF.90; LPA.4.al2; LPA.57.leta; LPA.57.letc; LGZD.3; LGZD.5; LGZD.5.al2; LGZD.5.al3; LGZD.5.al1.letb; LGZD.2.al1.leta; LGZD.2.al1.letb; RGZD.4; RGZD.5; RGZD.6; RGZD.13.al1.leta; ; RGZD.13.al1.letb; ; RGZD.13.al1.letc; RGZD.5.al1; RGL.67; RGL.68; RGL.69; ; RGL.74; RGL.75; RGL.76; RGL.77; RGL.78; Cst.26.al1; Cst.27; Cst.36; LGZD.4; LCI.6.al1; LCI.122; RCI.13.al4; LCI.44; RCI.9.al7</w:t>
      </w:r>
    </w:p>
    <w:p>
      <w:pPr>
        <w:pStyle w:val="Heading2"/>
      </w:pPr>
      <w:r>
        <w:t>Erwägungen</w:t>
      </w:r>
    </w:p>
    <w:p>
      <w:r>
        <w:rPr>
          <w:b/>
        </w:rPr>
        <w:t>E. 2</w:t>
      </w:r>
    </w:p>
    <w:p>
      <w:r>
        <w:t>de SBP d'un total de CHF 2'768'500.- (poste 111), et dont le principe a été confirmé dans les considérants qui précèdent, ainsi qu'un montant de CHF 280'000.- à titre d'honoraires de mise en valeur (poste 113), non contesté par les parties. À cela s'ajoute encore le poste 112 du PF produit en cours de procédure (« droits de mutation et frais d'acquisition ») à hauteur de CHF 46'884.-, qui doit être admis puisqu'il a été accepté par l'OCLPF compte tenu des justificatifs produits et qu'il n'est pas contesté par les parties. Quant au montant de CHF 823'771.- figurant au poste 114 (« autorisation et divers »), il ne figure pas dans les PF intermédiaires servant de base aux accords provisoires et ne saurait être admis. En effet, les honoraires des promoteurs liés aux autorisations de construire sont déjà pris en compte au poste 16 (« honoraires de promotion »), voire dans la marge de bénéfice et risques. Les promoteurs soutiennent avoir effectué des prestations correspondant à celles de l'architecte selon la norme SIA 102 à hauteur de 37,5 %, dont les honoraires seraient inclus dans le poste 114. 100 % de ces prestations équivalent à 11,1 % du coût de l'ouvrage de CHF 18'196'400.-, pourcentage sur lequel s'accordent toutes les parties. Or, il ressort d'un contrat d'entreprise générale produit par la société que celui-ci inclut déjà une somme à destination des architectes, ingénieurs et géomètres (CHF 65'464.-), incluse dans le coût global du contrat (CHF 538'200.-), et qui correspond à 13,84 % du coût de l'ouvrage (CHF 65'464.- x 100 / [CHF 538'200.- - CHF 65'464.-] = 13,84). Dès lors, on ne peut reprocher au TAPI d'avoir retenu que les 11,1 % du coût de l'ouvrage correspondant aux 100 % de prestations d'architecte ont déjà été pris en compte dans les prix des contrats d'entreprise générale, et que ces honoraires ne pouvaient dès lors être inclus également dans le prix afférent au terrain et payés une deuxième fois par les acquéreurs. Il en va de même des frais d'ingénieurs spécialisés et des taxes que veulent attribuer les promoteurs au poste 114, ces montants étant déjà comptabilisés dans le prix du contrat d'entreprise, ou à défaut, aux postes 14 (« taxes diverses ») et 113 (« travaux préparatoires »). Au surplus, la société a elle-même indiqué qu'elle avait ajouté le poste 114 pour compenser le prix plafonné du terrain, ce qui lui permettait d'atteindre le montant effectivement payé par les acquéreurs à ce titre. d.Les équipements non réalisés, requis expressément par l'OCLPF, participent au coût de revient de l'opération selon les accords de principe et à la définition de la typologie des logements répondant au besoin prépondérant de l'intérêt général. La société n'a pas contesté les montants indiqués par les acquéreurs et retenus par les autorités intimées à hauteur de CHF 5'581.20 par unité de douche et de CHF 8'418.80 par unité d'armoire, de sorte que le coût de construction y afférent peut être retenu pour un montant de CHF 490'000.- ([CHF 5'581.20 + CHF 8'418.80] x 35). Les plans autorisés par le département et incluant les équipements requis constituent, avec les autorisations de construire, l'objet principal des contrats d'entreprise générale. Ils en sont l'annexe la plus importante et doivent ainsi prévaloir sur le descriptif des travaux, annexe non signée, qui ne mentionne pas les équipements en question. Cela s'impose d'autant plus que l'architecte de la société a intégré lui-même les équipements concernés dans les plans avant autorisation, et a confirmé expressément que ces modifications seraient réalisées lors de l'exécution des ouvrages. À cela s'ajoute qu'alors que le TAPI a octroyé un ultime délai à la société pour produire l'ensemble des contrats signés établissant une divergence avec les plans visés ne varietur, elle ne les a pas produits, ni auprès du TAPI, ni auprès de la chambre administrative. Les équipements en question n'ayant pas été réalisés, il se justifie de réduire de CHF 490'000.- le coût de construction total payé par les acquéreurs en vertu des contrats d'entreprise générale s'élevant à CHF 18'196'000.- (et correspondant à la somme des postes 12 à 15), ce qui donne un total de CHF 17'706'000.-. e. Le montant de CHF 640'000.- que la société souhaite faire figurer au poste 17 (« imprévus montants versés directement aux acquéreurs ») a été versé « à bien plaire » aux acquéreurs pour leur permettre de terminer leurs travaux. Ce montant ne justifie en rien une augmentation du prix de revient, puisqu'il ne correspond à aucun des éléments de ce prix, dont tous les composants sont déjà pris en compte aux autres postes admis, et qu'il ne génère ainsi aucune plus-value de l'ouvrage par rapport aux plans techniques et financiers agréés par la société. Par ailleurs, les contrats conclus, qui prennent en compte tous les composants des prix de vente, mentionnent des prix forfaitaires. En outre, les divers postes du PF étant connus au stade de l'accord définitif, il ne se justifie plus de prendre en compte une somme correspondant aux imprévus. f.Pour procéder au calcul des honoraires de promotion figurant au poste 16, il convient de suivre le mode de calcul appliqué par l'OCLPF et non contesté par les parties ([(prix de revient total de l'opération sous poste 18 - prix du terrain sous poste 111 - honoraires de promotion sous poste 16) x 2,8%] x 1,076 de taxe sur la valeur ajoutée). Cela revient au calcul suivant : (postes 112 + 113 + 12 à 15) x 2,8 % x 1,076, soit CHF 18'032'884.- x 2,8 % x 1,076, avec un total de CHF 543'295.-. Sur cette base, le coût de revient finalement admis est de CHF 21'344'679.-. g. Dans la mesure où, selon les contrats conclus avec les acquéreurs, la somme de CHF 4'146'732.- a été versée aux promoteurs au titre d'honoraires pour l'activité de mise en valeur et l'indemnité, il se justifie de suivre le raisonnement de l'OCLPF en considérant qu'une part de ces honoraires ayant déjà été admise au poste 16, seule la différence de CHF 3'603'437.- sera admise en tant que marge de bénéfice et risques, laquelle n'équivaut ainsi plus à 18 % mais à 16,9 % du prix de revient. Le prix de vente total admis pour les villas s'élève dès lors à CHF 24'948'116.-. h. En définitive, l'OCLPF n'a pas abusé de son large pouvoir d'appréciation dans la fixation des postes du PF définitif et le TAPI a ordonné à juste titre que les postes 112, 113 16 du PF produit en procédure de première instance soient modifiés. À cela s'ajoute également la révision de la marge de bénéfice et risques. Il conviendra cependant d'annuler le jugement querellé en tant qu'il renvoie le dossier à l'OCLPF pour modifier le PF définitif dans le sens de ses considérants, dans la mesure où ces postes seront directement modifiés par la chambre administrative, par économie de procédure. i. L'OCLPF a considéré à juste titre qu'il appartenait en conséquence aux promoteurs de rembourser aux acquéreurs la différence entre les prix de vente définitivement admis et les prix de vente effectivement conclus. Il conviendra d'adapter cette différence sur la base des considérants qui précèdent. j. En conséquence, les griefs de la société seront très partiellement admis. 6) a. Les acquéreurs reprochent au TAPI et à l'OCLPF de n'avoir pas pris en compte dans le PF les frais encourus en raison des procédures relatives aux HLAE, ni ceux qui auraient été engendrés par le drainage défectueux. Ils estiment que la marge allouée aux promoteurs devrait être employée pour prendre en charge ces coûts. b. La direction des travaux dont l'exécution est soumise à autorisation de construire doit être assurée par un mandataire inscrit au tableau des mandataires professionnellement qualifiés, dont les capacités professionnelles correspondent à la nature de l'ouvrage (art. 6 al. 1 in initio LCI). Les propriétaires sont responsables, dans l'application de la présente loi et sous réserve des droits civils, de la sécurité et de la salubrité des constructions et installations (art. 122 LCI). Le département peut demander des renseignements ou des plans complémentaires, la modification de plans, la constitution de servitudes ou des calculs statiques (art. 13 al. 4 du règlement d'application de la loi sur les constructions et les installations diverses du 27 février 1978 - RCI - L 5 05.01). Il s'agit d'une norme potestative, laissant au département une liberté d'appréciation dans laquelle le Tribunal administratif, devenu depuis lors la chambre administrative, selon sa pratique, n'intervient qu'avec retenue. Les recourants ne peuvent en tirer une quelconque obligation d'agir, opposable aux autorités cantonales (arrêt du Tribunal fédéral 1P.224/2001 du 25 juin 2001 consid. 6b). Pour les constructions profondes, à plusieurs étages en sous-sol ou pénétrant de plus de 4 m en dessous du niveau naturel du terrain, il est exigé un rapport géotechnique dont le contenu doit préciser le niveau et la direction d'écoulement des nappes d'eau de faible importance, les méthodes d'exécution des enceintes d'encagement avec détail des fiches en profondeur et des ouvrages annexes tels qu'ancrages et pieux (plan et profil détaillés), et le type et la position des ouvrages de régularisation des écoulements souterrains (art. 44 LCI et 9 al. 7 let. a à c RCI). c. Il convient de faire une distinction entre ce qui est soumis ou non au contrôle de l'État en vertu des dispositions applicables. Celui-ci a pour compétence de déterminer la typologie des logements construits en zone de développement et de fixer les composants de leur prix de revient servant de base aux prix à reporter dans les contrats de vente et d'entreprise, lesquels ne peuvent donc pas être librement négociés. L'accord définitif fixe simplement de manière définitive ces éléments en fonction du bouclement des comptes de construction servant de base au PF définitif. En revanche, la LGZD n'instaure pas de contrôle de la responsabilité contractuelle des intervenants et l'État ne libère pas ceux-ci de mettre en oeuvre les voies de droit habituelles pour faire contrôler le respect d'engagements contractuels et se faire indemniser en cas de violation de ces engagements. La LGZD ne prévoit pas non plus de devoir de l'État d'intervenir dans la promotion par des mesures conservatoires ou provisionnelles dans le but de s'assurer que les intervenants exécutent leurs engagements contractuels. Il n'appartient donc pas à l'OCLPF de réduire à ce titre la marge de bénéfice et risques des promoteurs, dont le mode de calcul n'a pas été remis en cause par les acquéreurs. Cela étant, comme l'a relevé le TAPI, cette marge pourrait le cas échéant permettre aux promoteurs de faire face à leurs obligations dans le cadre d'un procès civil. En effet, seul le juge civil peut se prononcer sur le non-respect des obligations contractuelles des intervenants et sur une éventuelle réparation ou indemnisation en découlant. Les questions d'éventuels défauts de construction et du défaut de paiements des intervenants relèvent en effet du droit privé et demeurent ainsi de la compétence des juridictions civiles et non des juridictions administratives. C'est ainsi à juste titre que le TAPI a retenu que les frais engendrés par les procédures de radiation des HLAE ne pouvaient être considérés comme ressortissant aux coûts de construction proprement dits. Il ressort par ailleurs de l'étude hydrologique produite par les acquéreurs et des art. 44 LCI et 9 al. 7 RCI qu'en l'espèce, les dispositions de droit public n'exigeaient pas l'établissement d'un rapport géotechnique, lequel aurait peut-être permis de prendre à temps les mesures nécessaires pour éviter les problématiques de drainage. L'obligation de confier la direction des travaux à un mandataire inscrit au tableau des mandataires professionnellement qualifiés constitue la seule exigence imposée par l'État à cet égard. Pour le surplus, la salubrité des constructions relève de la responsabilité des propriétaires et la question d'une réalisation défectueuse ou d'une éventuelle erreur de conception dans le projet relève des règles de l'art en matière de construction et doit être exclusivement examinée sur le plan contractuel. Aucune obligation d'agir ne pouvait être imposée aux autorités administratives sur ce point. Il en va différemment des équipements sanitaires, lesquels participent à la typologie des logements répondant au besoin prépondérant de la population et constituent des éléments contractuels sur lesquels le contrôle étatique ne fait aucun doute en vertu de l'art. 5 LGZD. Les griefs des acquéreurs seront par conséquent écartés. 7) Dans ces circonstances, le recours des acquéreurs, entièrement mal fondé, sera rejeté et le recours de la société sera très partiellement admis. Le jugement querellé ne sera que très partiellement annulé, modifié dans les sens des considérants, et confirmé pour le surplus. 8) Vu l'issue du litige, qui confirme dans sa grande majorité le jugement querellé, les émoluments et indemnités prononcés par le TAPI seront confirmés. Un émolument de CHF 1'000.- sera mis à la charge conjointe et solidaire des acquéreurs. Un émolument, faiblement réduit, de CHF 950.- sera mis à la charge de la société, qui succombe dans une très large mesure (art. 87 al. 1 LPA). Aucune indemnité de procédure ne leur sera allouée pour le même motif, pas plus qu'au département, qui dispose d'un secteur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