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A/693/2009 vom 31. August 2010</w:t>
      </w:r>
    </w:p>
    <w:p>
      <w:r>
        <w:t>GE Cour de justice, 2010-08-31, FR</w:t>
      </w:r>
    </w:p>
    <w:p>
      <w:r>
        <w:rPr>
          <w:b/>
        </w:rPr>
        <w:t xml:space="preserve">Quelle: </w:t>
      </w:r>
      <w:r>
        <w:t>https://mcp.opencaselaw.ch/entscheid/ge_gerichte_A_693_2009</w:t>
      </w:r>
    </w:p>
    <w:p>
      <w:r>
        <w:t>FR: GE_GERICHTE A/693/2009 du 31 août 2010</w:t>
      </w:r>
    </w:p>
    <w:p>
      <w:r>
        <w:t>IT: GE_GERICHTE A/693/2009 del 31 agosto 2010</w:t>
      </w:r>
    </w:p>
    <w:p>
      <w:pPr>
        <w:pStyle w:val="Heading2"/>
      </w:pPr>
      <w:r>
        <w:t>Regeste</w:t>
      </w:r>
    </w:p>
    <w:p>
      <w:r>
        <w:t>; VOISIN ; CONSTRUCTION À LA LIMITE ; ZONE DE VILLAS ; BRUIT | Le recourant n'apporte pas la preuve que les installations projetées par son voisin intimé seront la cause de nuisances sonores intolérables et que ce dernier a l'intention de développer une activité commerciale sur la parcelle. S'écarter de ce constat relève du procès d'intention. Le recours est donc rejeté. | LCI.3.al3 ; LCI.7 ; LCI.68 ; LCI.69.al2 ; LPE.15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section dans la cause Monsieur Jean-Pierre MACH représenté par Me Nicolas Peyrot, avocat contre DÉPARTEMENT DES CONSTRUCTIONS ET DES TECHNOLOGIES DE L'INFORMATION CELERITY S.A. représentée par Me Marie-Claude de Rham-Casthélaz, avocate _________ Recours contre la décision de la commission cantonale de recours en matière administrative du 30 novembre 2009 ( DCCR/1219/2009 )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