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A/687/2023 vom 13. Februar 2024</w:t>
      </w:r>
    </w:p>
    <w:p>
      <w:r>
        <w:t>GE Cour de justice, 2024-02-13, FR</w:t>
      </w:r>
    </w:p>
    <w:p>
      <w:r>
        <w:rPr>
          <w:b/>
        </w:rPr>
        <w:t xml:space="preserve">Quelle: </w:t>
      </w:r>
      <w:r>
        <w:t>https://mcp.opencaselaw.ch/entscheid/ge_gerichte_A_687_2023</w:t>
      </w:r>
    </w:p>
    <w:p>
      <w:r>
        <w:t>FR: GE_GERICHTE A/687/2023 du 13 février 2024</w:t>
      </w:r>
    </w:p>
    <w:p>
      <w:r>
        <w:t>IT: GE_GERICHTE A/687/2023 del 13 febbraio 2024</w:t>
      </w:r>
    </w:p>
    <w:p>
      <w:pPr>
        <w:pStyle w:val="Heading2"/>
      </w:pPr>
      <w:r>
        <w:t>Erwägungen</w:t>
      </w:r>
    </w:p>
    <w:p>
      <w:r>
        <w:rPr>
          <w:b/>
        </w:rPr>
        <w:t>E. 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À teneur de l'art. 1 al. 1 LAI, les dispositions de la LPGA s'appliquent à l'AI, à moins que la loi n'y déroge expressément.![endif]&gt;![if&gt; La modification du 21 juin 2019 de la LPGA est entrée en vigueur le 1 er janvier 2021. Elle est ainsi applicable, dès lors que le recours a été interjeté postérieurement à cette date (art. 82a LPGA a contrario).</w:t>
      </w:r>
    </w:p>
    <w:p>
      <w:r>
        <w:rPr>
          <w:b/>
        </w:rPr>
        <w:t>E. 3</w:t>
      </w:r>
    </w:p>
    <w:p>
      <w:r>
        <w:t>Interjeté dans la forme et le délai – de trente jours – prévus par la loi, le recours est recevable (art. 56 ss LPGA ainsi que 62 ss de la loi sur la procédure administrative du 12 septembre 1985 [LPA - E 5 10]).![endif]&gt;![if&gt;</w:t>
      </w:r>
    </w:p>
    <w:p>
      <w:r>
        <w:rPr>
          <w:b/>
        </w:rPr>
        <w:t>E. 4</w:t>
      </w:r>
    </w:p>
    <w:p>
      <w:r>
        <w:t>L'objet du litige porte sur la question de savoir si l’intimé était en droit de réviser le droit de la recourante en réduisant sa rente entière d’invalidité en une demi‑rente avec effet au 1 er mars 2023.![endif]&gt;![if&gt;</w:t>
      </w:r>
    </w:p>
    <w:p>
      <w:r>
        <w:rPr>
          <w:b/>
        </w:rPr>
        <w:t>E. 5</w:t>
      </w:r>
    </w:p>
    <w:p>
      <w:r>
        <w:t>Le 1 er janvier 2022, les modifications de la LAI et de la LPGA du 19 juin 2020 (développement continu de l'AI ; RO 2021 705), y compris les ordonnances correspondantes, sont entrées en vigueur.![endif]&gt;![if&gt;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Dans les cas de révision selon l'art. 17 LPGA, conformément aux principes généraux du droit intertemporel (cf. ATF 144 V 210 consid. 4.3.1), il convient d'évaluer, selon la situation juridique en vigueur jusqu'au 31 décembre 2021, si une modification déterminante est intervenue jusqu'à cette date. Si tel est le cas, les dispositions de la LAI et celles du règlement sur l’assurance-invalidité du 17 janvier 1961 (RAI - RS 831.201) dans leur version valable jusqu'au 31 décembre 2021 sont applicables. Si la modification déterminante est intervenue après cette date, les dispositions de la LAI et du RAI dans leur version en vigueur à partir du 1 er janvier 2022 sont applicables. La date pertinente de la modification est déterminée par l'art. 88a RAI (arrêts du Tribunal fédéral 8C_55/2023 du 11 juillet 2023 consid. 2.2 ; 8C_644/2022 du 8 février 2023 consid. 2.2.3). La réglementation légale concernant la révision et le réexamen de décisions ou de décisions sur opposition entrées en force (art. 53 LPGA) n'a pas été modifiée dans le cadre du développement de l'AI susmentionné, raison pour laquelle aucune question de droit intertemporel ne se pose à cet égard (cf. arrêt du Tribunal fédéral 8C_644/2022 du 8 février 2023 consid. 2.2.2). En l'occurrence, la décision litigieuse a certes été rendue après le 1 er janvier 2022. Toutefois, concernant l'amélioration de la capacité de gain, la date déterminante est août 2021 – trois mois après mai 2021, mois de l’amélioration de l’état de santé (selon l’experte F______) et donc de la capacité de gain –, selon l'art. 88a al. 1 RAI. Les dispositions de la LAI et celles du RAI dans leur version valable jusqu’au 31 décembre 2021 s'appliquent (cf. notamment Office fédéral des assurances sociales [OFAS], Circulaire sur l’invalidité et les rentes dans l’assurance-invalidité [CIRAI], valable dès le 1 er janvier 2022, ch. 9102). Par conséquent, les dispositions applicables seront citées dans leur teneur en vigueur jusqu'au 31 décembre 2021. A fortiori , en référence à la modification de l’art. 26bis al. 3 RAI du 18 octobre 2023 (déduction forfaitaire ; RO 2023 635) entrée en vigueur le 1 er janvier 2024, et compte tenu des principes généraux de droit intertemporel, ledit art. 26bis al. 3 RAI serait en tout état de cause applicable dans sa teneur en vigueur jusqu’au 31 décembre 2023.</w:t>
      </w:r>
    </w:p>
    <w:p>
      <w:r>
        <w:rPr>
          <w:b/>
        </w:rPr>
        <w:t>E. 6</w:t>
      </w:r>
    </w:p>
    <w:p>
      <w:r>
        <w:t>![endif]&gt;![if&gt;</w:t>
      </w:r>
    </w:p>
    <w:p>
      <w:r>
        <w:rPr>
          <w:b/>
        </w:rPr>
        <w:t>E. 6.1</w:t>
      </w:r>
    </w:p>
    <w:p>
      <w:r>
        <w:t>L’art. 17 al. 1 LPGA – dans sa version en vigueur jusqu'au 31 décembre 2021 –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3.5).![endif]&gt;![if&gt; L’art. 88a al. 1 RAI – intitulé « modification du droit » – précise quant à lui que,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Tel est le cas lorsque la capacité de travail s'améliore grâce à une accoutumance ou à une adaptation au handicap (ATF 141 V 9 consid. 2.3 ; arrêt du Tribunal fédéral 9C_622/2015 du 9 mars 2016 consid. 4.1).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w:t>
      </w:r>
    </w:p>
    <w:p>
      <w:r>
        <w:rPr>
          <w:b/>
        </w:rPr>
        <w:t>E. 6.2</w:t>
      </w:r>
    </w:p>
    <w:p>
      <w:r>
        <w:t>Est réputée invalidité, l'incapacité de gain totale ou partielle présumée permanente ou de longue durée, résultant d'une infirmité congénitale, d'une maladie ou d'un accident (art. 8 al. 1 LPGA et 4 al. 1 LAI).![endif]&gt;![if&gt;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tel qu'en vigueur dès le 1 er janvier 2021, la version antérieure indiquant « dans son domaine d'activité » plutôt que « qui entre en considération »). Seules les conséquences de l'atteinte à la santé sont prises en compte pour juger de la présence d'une incapacité de gain. De plus, il n'y a incapacité de gain que si celle-ci n'est pas objectivement surmontable (al. 2, en vigueur dès le 1 er janvier 2008).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Conformément à l'art. 4 LAI, l'invalidité (art. 8 LPGA) peut résulter d'une infirmité congénitale, d'une maladie ou d'un accident (al. 1). L'invalidité est réputée survenue dès qu'elle est, par sa nature et sa gravité, propre à ouvrir droit aux prestations entrant en considération (al. 2).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condition que l'intimé n'a pas considérée comme remplie en admettant une incapacité totale de travail du 22 juillet 2016 au 6 février 2017 – ; au terme de cette année, il est invalide (art. 8 LPGA) à 40% au moins (let. c). Selon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6.3</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3.1).![endif]&gt;![if&gt;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 ATF 130 V 396 consid. 5.3 et 6).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4.3),![endif]&gt;![if&gt; A.    Complexe « Atteinte à la santé » (consid. 4.3.1)![endif]&gt;![if&gt; Expression des éléments pertinents pour le diagnostic (consid. 4.3.1.1), succès du traitement et de la réadaptation ou résistance à cet égard (consid. 4.3.1.2), comorbidités (consid. 4.3.1.3). B.     Complexe « Personnalité » (diagnostic de la personnalité, ressources personnelles ; consid. 4.3.2) ![endif]&gt;![if&gt; C.     Complexe « Contexte social » (consid. 4.3.3)![endif]&gt;![if&gt; -          Catégorie « Cohérence » (aspects du comportement ; consid. 4.4) ![endif]&gt;![if&gt;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6.4</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référence).![endif]&gt;![if&gt;</w:t>
      </w:r>
    </w:p>
    <w:p>
      <w:r>
        <w:rPr>
          <w:b/>
        </w:rPr>
        <w:t>E. 6.4.1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Il faut en outre que le médecin dispose de la formation spécialisée nécessaire et de compétences professionnelles dans le domaine d’investigation (arrêt du Tribunal fédéral 9C_555/2017 du 22 novembre 2017 consid. 3.1 et les références).![endif]&gt;![if&gt;</w:t>
      </w:r>
    </w:p>
    <w:p>
      <w:r>
        <w:rPr>
          <w:b/>
        </w:rPr>
        <w:t>E. 6.4.2</w:t>
      </w:r>
    </w:p>
    <w:p>
      <w:r>
        <w:t>Sans remettre en cause le principe de la libre appréciation des preuves, le Tribunal fédéral a posé des lignes directrices en ce qui concerne la manière d'apprécier certains types d'expertises ou de rapports médicaux.![endif]&gt;![if&gt;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6.4.3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 notamment des symptômes – ou d'autres manifestations d'un profit secondaire tiré de la maladie (cf. ATF 141 V 281 consid. 2.2 ; arrêt du Tribunal fédéral 9C_756/2018 du 17 avril 2019 5.2.2 et la référence).![endif]&gt;![if&gt; Dans le même sens, 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 du Tribunal fédéral 8C_213/2020 du 19 mai 2020 consid. 4.3 et les références).</w:t>
      </w:r>
    </w:p>
    <w:p>
      <w:r>
        <w:rPr>
          <w:b/>
        </w:rPr>
        <w:t>E. 6.5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référence).![endif]&gt;![if&gt;</w:t>
      </w:r>
    </w:p>
    <w:p>
      <w:r>
        <w:rPr>
          <w:b/>
        </w:rPr>
        <w:t>E. 7</w:t>
      </w:r>
    </w:p>
    <w:p>
      <w:r>
        <w:t>![endif]&gt;![if&gt;</w:t>
      </w:r>
    </w:p>
    <w:p>
      <w:r>
        <w:rPr>
          <w:b/>
        </w:rPr>
        <w:t>E. 7.1</w:t>
      </w:r>
    </w:p>
    <w:p>
      <w:r>
        <w:t>En l’espèce, le rapport d'expertise du 30 septembre 2022 de la Dre F______ répond, sur le plan formel, aux exigences posées par la jurisprudence pour qu'on puisse lui accorder une pleine valeur probante. En effet, cette expertise psychiatrique a été conduite par une médecin spécialisée dans le domaine concerné, sur la base d'observations approfondies et d'investigations complètes, ainsi qu'en pleine connaissance du dossier. Ladite experte a personnellement examiné la recourante préalablement à l'établissement de son rapport d'expertise, et elle a consigné les renseignements anamnestiques pertinents, recueilli les plaintes de l'assurée et résumé ses propres constatations. Elle a en outre énoncé les diagnostics retenus et répondu à toutes les questions posées. Enfin, ses conclusions sont claires et bien motivées.![endif]&gt;![if&gt;</w:t>
      </w:r>
    </w:p>
    <w:p>
      <w:r>
        <w:rPr>
          <w:b/>
        </w:rPr>
        <w:t>E. 7.2</w:t>
      </w:r>
    </w:p>
    <w:p>
      <w:r>
        <w:t>La recourante ne conteste pas les constatations effectuées par la Dre F______, telles que contenues dans son rapport d’expertise.![endif]&gt;![if&gt; Elle se plaint en revanche de ce que « cette expertise, émaillée de considérations en contradiction complète avec l’état de fait, constitue in fine une « seconde opinion » en violation de l’art. 43 al. 1 LPGA, en tant qu’elle remet en cause les conclusions de l’expertise du 28 mai 2018 ayant fondé initialement [son] droit à une rente ».</w:t>
      </w:r>
    </w:p>
    <w:p>
      <w:r>
        <w:rPr>
          <w:b/>
        </w:rPr>
        <w:t>E. 7.3</w:t>
      </w:r>
    </w:p>
    <w:p>
      <w:r>
        <w:t>On ne voit cependant pas en quoi l’experte F______ s’écarterait des constatations, appréciations et conclusions des experts C______ et D______ et effectuerait une appréciation différente de l’état de fait existant en 2018, qui, selon l’assurée, serait pour l’essentiel demeuré inchangé, d’où d’après elle une absence de motif de révision au sens de l’art. 17 al. 1 LPGA.![endif]&gt;![if&gt; En effet, la Dre F______ ne remet aucunement en cause les conclusions du rapport d’expertise des Drs C______ et D______, en particulier ni le diagnostic de trouble dépressif récurrent, épisode actuel sévère (F33.2), ni l’incapacité totale de travail, pour la période antérieure au mois de mai 2021 ; elle retient simplement une amélioration de l’état de santé de l’expertisée à partir de ce mois-ci. Certes, alors que le trouble de la personnalité dépendante (F60.7) depuis le début de l’âge adulte constituait un diagnostic avec une répercussion sur la capacité de travail selon le rapport d’expertise de 2018, l’experte F______ « ne [retient] pas un trouble de la personnalité incapacitant, car l’assurée a pu travailler sans limitations dans le passé, elle a pu se former, travailler durant cinq années et ce trouble n’est pas décompensé dans l’absence de tout traitement pharmacologique, sans hospitalisation psychiatrique récente, sans suivi psychiatrique » (p. 38). Il s’agit toutefois d’une divergence peu importante et sans conséquence sur la question centrale qui est celle de la capacité de travail. En effet, d’une part, le caractère incapacitant du trouble de la personnalité dépendante (F60.7) diagnostiqué par les experts C______ et D______ était selon eux intrinsèquement lié à son interaction avec les épisodes dépressifs, dont il « [constituait] le fond propice sur lequel [ceux-ci avaient] pu se développer » (p. 11) ; d’autre part, la Dre F______ retient le diagnostic de trouble mixte de la personnalité émotionnellement labile, dépendante et anxieuse (F61), relativement proche dans le présent contexte de celui posé par les précédents experts, et elle décrit sur quels symptômes notamment son diagnostic repose, de telle sorte qu’on ne voit pas ce trouble mixte de la personnalité émotionnellement labile, dépendante et anxieuse n’aurait pas une influence sur la gravité des épisodes du trouble dépressif, lequel est incapacitant aussi pour l’experte F______ ; selon elle, « les troubles dépressifs moyens depuis mai 2021 au présent » s’insèrent dans le « le contexte dudit trouble de la personnalité » (p. 30). Le diagnostic de troubles dépressifs récurrents moyens avec syndrome somatique (F33.11) « depuis mai 2021 au présent » posé par l’experte F______ au lieu de l’épisode dépressif sévère retenu par les experts précédents pour la période couverte par leur rapport d’expertise de 2018, n’est à juste titre pas contesté par la recourante, ce d’autant qu’en mai et juin 2021 son médecin généraliste traitant, respectivement son psychiatre traitant (du CAPPI) ont fait état d’un épisode dépressif léger, respectivement moyen. C’est de manière non pertinente que l’intéressée soutient que ce passage d’un épisode dépressif sévère à moyen ne constituerait pas un motif de révision ; en effet, d’une part, l’amélioration de l’état psychique – non passagère – que ce changement de diagnostic dénote est susceptible de constituer un des éléments importants pouvant justifier une révision au sens de l’art. 17 al. 1 LPGA ; d’autre part, la Dre F______ ne s’est pas limitée à ce passage à un diagnostic de moindre gravité pour conclure à une incapacité de travail de 50% – contre 100% auparavant – dans toute activité, cette conclusion reposant sur un examen complet et approfondi de la situation de l’expertise en conformité avec la grille d’analyse avec les indicateurs développés par le Tribunal fédéral.</w:t>
      </w:r>
    </w:p>
    <w:p>
      <w:r>
        <w:rPr>
          <w:b/>
        </w:rPr>
        <w:t>E. 7.4</w:t>
      </w:r>
    </w:p>
    <w:p>
      <w:r>
        <w:t>Pour le surplus, on ne voit pas en quoi serait « bien curieuse » la « manière de mettre en scène les déclarations de la recourante » dans le rapport d’expertise, dans le chapitre relatif au « déroulement détaillé et représentatif d’une journée type, […] ». En effet, à teneur de ce rapport, « l’intéressée a de la peine à décrire une journée type car elle ne fait pas la différence entre le matin, midi et soir, étant capable de dormir toute la journée. Ainsi, elle se réveille souvent le soir, elle regarde des séries toutes la nuit, elle fait une pause, puis elle lit le journal, ou inversement. Elle dit qu’elle n’a aucune routine ni aucune hygiène de vie. Elle peut passer des heures couchées dans son lit et rêver ou regarder la télévision. Elle a une certaine routine uniquement quand elle a des contraintes, comme participer aux entretiens d’expertise, ou voir sa psychiatre toutes les trois semaines, faire les courses, le ménage, préparer les repas, l’administratif, mais elle fait le strict minimum en étant ralentie par sa fatigue et sa tristesse » (p. 19).![endif]&gt;![if&gt; L’assurée ne précise pas en quoi ces assertions de l’experte seraient problématiques. Au contraire, la citation qui précède constitue une sorte de synthèse des réponses précises de l’expertisée sur ses activités reproduites ensuite. Ces réponses consistent notamment en ce qui suit : « l’assurée décrit un sommeil irrégulier, avec une inversion du rythme nycthéméral, une hypersomnie et des périodes d’insomnie » ; elle « a des contacts téléphoniques avec ses parents [dans son pays d’origine] et elle dit ne pas avoir d’entourage amical » ; concernant ses occupations quotidiennes, elle « lit le journal online de temps en temps avec des pauses », elle « écoute beaucoup de musique », comme « échappatoire », avec des écouteurs, elle n’a pas de télévision – divergence de détail par rapport à la synthèse ci-dessus qui peut s’expliquer par une inadvertance –, elle regarde des séries sur internet, elle « passe presque toute la journée sur l’ordinateur » et elle « surfe sur les réseaux sociaux pour voir des photos paradisiaques et d’architecture » (p. 19-20). Par ailleurs, concernant les « activités familiales », « l’intéressée dit que lors de ses voyages [dans son pays d’origine], l’unique activité est d’aller aux courses et sa mère lui propose de sortir et de venir boire un café avec elle et des amis et elle y va ponctuellement. Ses uniques sorties c’est quand ses parents font des excursions avec une amie qui organise des excursions [dans ce pays], pendant un à deux jours. Elle aime beaucoup ces excursions, mais elle ne peut pas en faire trop » (p. 20). Dans ce contexte et au regard de l’ensemble des constations et appréciations du rapport d’expertise de la Dre F______, il n’y a, contrairement à ce que prétend la recourante, rien de « stupéfiant » ou erroné dans le fait que cette experte « [retient] des incohérence dans le sens que l’assurée estime que son état n’a globalement pas changé depuis 2015 au présent, alors que selon les rapports de ses psychiatres elle présente des épisodes dépressifs légers ou moyens depuis mai 2021 au présent, alors qu’auparavant elle présentait des épisodes dépressifs sévères. Il en est de même lorsqu’elle estime qu’elle ne peut rien faire au niveau professionnel et qu’elle ne fait quasi rien dans la journée type, alors qu’elle gère seule, sans aide extérieure son quotidien, les courses, la préparation des repas simples, la vaisselle, l’administratif, le ménage, elle part en vacances à l’étranger trois fois par année, sans anhédonie totale mais partielle, fait des excursions [dans son pays d’origine], des jeux vidéo, écoute de la musique, regarde la télévision plusieurs heures par jour, surfe sur les réseaux sociaux, sans isolement social total mais partiel » (p. 23 et 31). Enfin, on ne voit pas ce qu’il y a de problématique ou contradictoire dans le fait que l’experte F______, notamment après avoir reproduit les réponses de l’expertisée à sa question « Comment voyez-vous votre avenir personnel et professionnel ? » (p. 13), écrit que « l’assurée décrit des avantages secondaires dans le sens d’une difficulté à retrouver un emploi avec une démotivation après une longue pause professionnelle dans un contexte de quelques poursuites, de déconditionnement et de besoin de temps pour ses activités quotidiennes comme la télévision, les jeux vidéo, écouter la musique, etc. » (p. 31). À cet égard, ces bénéfices secondaires selon l’experte ne sont que partiels. En effet, l’experte expose plus loin ce qui suit, sous « cohérence » : « Nous avons objectivé une bonne cohérence entre la plupart des plaintes subjectives et le constat objectif, le décalage existant entre la fatigue et le constat objectif, s’inscrivant dans un contexte d’un trouble de la personnalité mixte avec des bénéfices primaires et secondaires, mais sans exagération volontaire des plaintes ou de la journée type » (p. 42). Puis, sous « limitation uniforme du niveau d’activité dans tous les domaines comparables de la vie », la Dre F______ retient « des capacités et ressources personnelles modérées d’un point de vue psychiatrique » (p. 42) ; en effet, la recourante « gère seule son quotidien avec une fatigue et une tristesse qui la ralentissent et font qu’elle a besoin de plus de temps, alors qu’elle ne bénéficie pas d’un traitement antidépresseur, sans traitement psychiatrique hebdomadaire mais une fois toutes les trois semaines » (p. 30), mais elle a néanmoins aussi « des limitations fonctionnelles psychiatriques modérées significatives et uniformes dans les domaines de la vie courante selon l’anamnèse, la journée type et l’examen clinique » (p. 42). Ainsi, sous l’angle en particulier de la catégorie « Cohérence » des indicateurs développés par le Tribunal fédéral, le rapport d’expertise de la Dre F______ résiste entièrement à la critique.</w:t>
      </w:r>
    </w:p>
    <w:p>
      <w:r>
        <w:rPr>
          <w:b/>
        </w:rPr>
        <w:t>E. 7.5</w:t>
      </w:r>
    </w:p>
    <w:p>
      <w:r>
        <w:t>De surcroît, les appréciations et conclusions de l’experte F______ apparaissent d’autant moins critiquables que la recourante ne produit aucun avis de médecins qui les contesteraient.![endif]&gt;![if&gt; Au demeurant, selon le rapport du 2 juin 2021 du Dr E______ (du CAPPI), « (…), plusieurs traitements psychotropes ont été administrés par le passé, actuellement interrompus avec l’accord de son médecin traitant, en raison de troubles métaboliques notamment. Le maintien à l’écart de toute activité professionnelle a permis une diminution des symptômes dépressifs. Pour autant, ils restent présents. Elle décrit une amélioration globale de son état et de sa situation avec toutefois la récurrence d’un trouble manifeste, actuellement modéré. Sur le plan professionnel, il lui est actuellement impossible de se projeter dans un éventuel emploi, source de tension interne et d’anxiété majeure » (p. 2). Ce rapport du Dr E______, spécialiste en psychiatrie, apparaît ainsi sans divergences significatives – hormis concernant l’incapacité de travail – par rapport à celui de l’expert F______.</w:t>
      </w:r>
    </w:p>
    <w:p>
      <w:r>
        <w:rPr>
          <w:b/>
        </w:rPr>
        <w:t>E. 7.6</w:t>
      </w:r>
    </w:p>
    <w:p>
      <w:r>
        <w:t>Par surabondance, est également en faveur de la diminution de l’incapacité de travail de 100% à 50% dans toute activité le fait que l’assurée ne prend plus de médicaments (au plan psychique) depuis 2019, contre un antidépresseur (duloxétine, Cymbalta) et un antipsychotique atypique (aripiprazole, Abilify) jusqu’en 2018, et ne voit sa ou son psychiatre traitant (du CAPPI) qu’une fois toutes les trois ou quatre semaines, comme à l’époque de l’établissement en 2018 du rapport d’expertise des Drs C______ et D______. Ceux-ci ont du reste considéré que la capacité de travail pouvait encore être améliorée de façon sensible par des mesures médicales, par « une intensification du travail psychothérapeutique avec une orientation TCC dans le cadre d’entretiens hebdomadaires », accompagnée d’une prise en charge de l’hypothyroïdie et le cas échéant d’un changement d’antidépresseur (p. 17). Au demeurant, le Dr E______ recommande la « poursuite du suivi psychiatrique ambulatoire » et la « réévaluation de la reprise d’un traitement médicamenteux antidépresseur adapté (profil métabolique favorable) » (rapport du 2 juin 2021, p. 2).![endif]&gt;![if&gt; C’est ainsi de manière convaincante que l’experte F______ considère ce qui suit : « L’absence d’un traitement antidépresseur qui a été pris dans le passé lors des épisodes dépressifs sévères précédents, sans hospitalisation psychiatrique depuis plusieurs années, avec un suivi psychiatrique une fois toutes les trois semaines et pas hebdomadaire, plaide aussi indirectement contre un trouble incapacitant à 100%, contre une décompensation du trouble de la personnalité et contre des limitations fonctionnelles sévères, mais plutôt modérées » (p. 31). De surcroît, selon la jurisprudence,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En outre,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 Or dans le cas présent, selon l’experte F______ – à l’instar d’ailleurs des précédents experts et du Dr E______ –, « un suivi psychiatrique hebdomadaire avec un traitement antidépresseur bien dosé peuvent améliorer la capacité de travail » ; toujours selon la Dre F______, « l’assurée ne présente pas de trouble psychique ne lui permettant pas de comprendre la nécessité d’un traitement adéquat », avec la précision qu’« au cas où elle refuse les soins ceci peut être considéré comme un choix de vie » (p. 44).</w:t>
      </w:r>
    </w:p>
    <w:p>
      <w:r>
        <w:rPr>
          <w:b/>
        </w:rPr>
        <w:t>E. 7.7</w:t>
      </w:r>
    </w:p>
    <w:p>
      <w:r>
        <w:t>En définitive, aucun indice concret ne permet de s’écarter des conclusions convaincantes de l’experte F______, dont le rapport d’expertise a pleine valeur probante.![endif]&gt;![if&gt; Il s’ensuit qu’au plan médical, l’incapacité de travail de la recourante dans toute activité est bien passée de 100% à 50% à partir de mai 2021.</w:t>
      </w:r>
    </w:p>
    <w:p>
      <w:r>
        <w:rPr>
          <w:b/>
        </w:rPr>
        <w:t>E. 8</w:t>
      </w:r>
    </w:p>
    <w:p>
      <w:r>
        <w:t>![endif]&gt;![if&gt;</w:t>
      </w:r>
    </w:p>
    <w:p>
      <w:r>
        <w:rPr>
          <w:b/>
        </w:rPr>
        <w:t>E. 8.1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w:t>
      </w:r>
    </w:p>
    <w:p>
      <w:r>
        <w:rPr>
          <w:b/>
        </w:rPr>
        <w:t>E. 8.2</w:t>
      </w:r>
    </w:p>
    <w:p>
      <w:r>
        <w:t>En l’espèce, c’est de manière conforme au droit que l’intimé a repris le taux d’incapacité de travail pour la fixation du degré d’invalidité (50%).![endif]&gt;![if&gt; En effet, une simple comparaison de pourcentage peut suffire lorsque l’assuré dispose d’une capacité résiduelle de travail dans son activité habituelle et qu’aucune autre activité n’est mieux adaptée à ses limitations fonctionnelles. Le taux d’invalidité est alors identique au taux d’incapacité de travail (cf. ATF 114 V 310 consid. 3a ; arrêt du Tribunal fédéral 9C_562/2022 du 12 septembre 2023 consid. 6 et les références). Pour le surplus, en l’absence de salaire statistique comme base du revenu avec invalidité, il n’y a pas de place ici pour un éventuel abattement (cf., a contrario, ATF 135 V 297 consid. 5.2 ; ATF 134 V 322 consid. 5.2 et les références ; ATF 126 V 75 consid. 5b/aa-cc).</w:t>
      </w:r>
    </w:p>
    <w:p>
      <w:r>
        <w:rPr>
          <w:b/>
        </w:rPr>
        <w:t>E. 8.3</w:t>
      </w:r>
    </w:p>
    <w:p>
      <w:r>
        <w:t>C’est donc conformément au droit, notamment l’art. 28 al. 2 LAI, que l’OAI a remplacé la rente entière d’invalidité par une demi-rente à partir du deuxième mois suivant la notification de ladite décision (art. 88bis al. 2 let. a RAI), à savoir le 1 er mars 2023, basée sur un degré d’invalidité de 50%.![endif]&gt;![if&gt;</w:t>
      </w:r>
    </w:p>
    <w:p>
      <w:r>
        <w:rPr>
          <w:b/>
        </w:rPr>
        <w:t>E. 9</w:t>
      </w:r>
    </w:p>
    <w:p>
      <w:r>
        <w:t>La décision querellée étant conforme au droit, le recours sera rejeté.![endif]&gt;![if&gt;</w:t>
      </w:r>
    </w:p>
    <w:p>
      <w:r>
        <w:rPr>
          <w:b/>
        </w:rPr>
        <w:t>E. 10</w:t>
      </w:r>
    </w:p>
    <w:p>
      <w:r>
        <w:t>La procédure n'étant pas gratuite (art. 69 al. 1bis LAI), un émolument de CHF 200.- (montant minimal) sera perçu de la recourante, qui n’obtient pas gain de cause.![endif]&gt;![if&gt;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