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A/686/2023 vom 22. Juni 2023</w:t>
      </w:r>
    </w:p>
    <w:p>
      <w:r>
        <w:t>GE Cour de justice, 2023-06-22, FR</w:t>
      </w:r>
    </w:p>
    <w:p>
      <w:r>
        <w:rPr>
          <w:b/>
        </w:rPr>
        <w:t xml:space="preserve">Quelle: </w:t>
      </w:r>
      <w:r>
        <w:t>https://mcp.opencaselaw.ch/entscheid/ge_gerichte_A_686_2023</w:t>
      </w:r>
    </w:p>
    <w:p>
      <w:r>
        <w:t>FR: GE_GERICHTE A/686/2023 du 22 juin 2023</w:t>
      </w:r>
    </w:p>
    <w:p>
      <w:r>
        <w:t>IT: GE_GERICHTE A/686/2023 del 22 giugno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w:t>
      </w:r>
    </w:p>
    <w:p>
      <w:r>
        <w:rPr>
          <w:b/>
        </w:rPr>
        <w:t>E. 2</w:t>
      </w:r>
    </w:p>
    <w:p>
      <w:r>
        <w:t>À teneur de l’art. 1 al. 1 LAVS, les dispositions de la LPGA s’appliquent, aux art. 1 à 97 LAVS, à moins que la loi n’y déroge expressément. ![endif]&gt;![if&gt;</w:t>
      </w:r>
    </w:p>
    <w:p>
      <w:r>
        <w:rPr>
          <w:b/>
        </w:rPr>
        <w:t>E. 3</w:t>
      </w:r>
    </w:p>
    <w:p>
      <w:r>
        <w:t>Le délai de recours est de 30 jours (art. 56 LPGA ; art. 62 al. 1 de la loi sur la procédure administrative du 12 septembre 1985 [LPA - E 5 10]). ![endif]&gt;![if&gt; Interjeté dans la forme et le délai prévus par la loi, compte tenu du fait que le pli recommandé n’a pas été retiré auprès de l’office postal, le recours est recevable.</w:t>
      </w:r>
    </w:p>
    <w:p>
      <w:r>
        <w:rPr>
          <w:b/>
        </w:rPr>
        <w:t>E. 4</w:t>
      </w:r>
    </w:p>
    <w:p>
      <w:r>
        <w:t>Le litige porte sur les cotisations réclamées à la recourante, à titre de reprise des salaires, pour les années 2016, 2017, 2018 et 2019. ![endif]&gt;![if&gt;</w:t>
      </w:r>
    </w:p>
    <w:p>
      <w:r>
        <w:rPr>
          <w:b/>
        </w:rPr>
        <w:t>E. 5</w:t>
      </w:r>
    </w:p>
    <w:p>
      <w:r>
        <w:t>![endif]&gt;![if&gt;</w:t>
      </w:r>
    </w:p>
    <w:p>
      <w:r>
        <w:rPr>
          <w:b/>
        </w:rPr>
        <w:t>E. 5.1</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Ces principes ne conduisent cependant pas, à eux seuls, à des solutions uniformes, applicables de manière schématique.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ATF 123 V 161 consid. 1 et les références). Il n’existe toutefois aucune présomption juridique en faveur de l’activité salariée ou indépendante (Directives sur le salaire déterminant dans l’AVS, AI et APG [ci-après : DSD], édictées par l’office fédéral des assurances sociales [ci-après : l’OFAS], ch. 1020). La notion de dépendance englobe les rapports créés par un contrat de travail, mais elle les déborde largement (GREBER, DUC, SCARTAZZINI, Commentaire des art. 1 à 16 de la loi fédérale sur l’assurance-vieillesse et survivants, 1997, n. 94 ad art. 4 LAVS et les références). Il peut en effet arriver qu’un tribunal civil qualifie une relation juridique de mandat ou de contrat d’entreprise, alors que l’assureur ou le juge social la considère comme un cas d’activité lucrative dépendante ( cf . ATF 97 V 134 consid. 3 ; Jean-Philippe DUNAND, in Commentaire romand de la LPGA, n. 56 ad art. 10).</w:t>
      </w:r>
    </w:p>
    <w:p>
      <w:r>
        <w:rPr>
          <w:b/>
        </w:rPr>
        <w:t>E. 5.2</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 cf .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w:t>
      </w:r>
    </w:p>
    <w:p>
      <w:r>
        <w:rPr>
          <w:b/>
        </w:rPr>
        <w:t>E. 5.3</w:t>
      </w:r>
    </w:p>
    <w:p>
      <w:r>
        <w:t>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On peut donner une importance prépondérante soit au critère du risque économique soit à celui du rapport de dépendance, ou à leurs manifestations respectives, suivant les circonstances (DSD, ch. 1024). Ainsi,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w:t>
      </w:r>
    </w:p>
    <w:p>
      <w:r>
        <w:rPr>
          <w:b/>
        </w:rPr>
        <w:t>E. 5.4</w:t>
      </w:r>
    </w:p>
    <w:p>
      <w:r>
        <w:t>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 12 e éd. p. 34 ss ; VISCHER, Der Arbeitsvertrag ,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w:t>
      </w:r>
    </w:p>
    <w:p>
      <w:r>
        <w:rPr>
          <w:b/>
        </w:rPr>
        <w:t>E. 5.5</w:t>
      </w:r>
    </w:p>
    <w:p>
      <w:r>
        <w:t>Lorsqu’un assuré exerce simultanément plusieurs activités, on se demandera, à propos de chacun des revenus touchés, s’il provient d’une activité indépendante ou d’une activité salariée. Il est parfaitement possible qu’un assuré travaille en même temps pour une entreprise en qualité de salarié et pour une autre comme indépendant. Par conséquent, il se peut aussi que l’assuré travaille pour la même entreprise, mais dans des secteurs différents, comme salarié et comme indépendant. On ne considère donc pas le caractère prédominant de l’activité dans son ensemble. Une telle manière de qualifier celle-ci n’est pas prévue par la loi, et n’est pas non plus nécessaire pour des raisons pratiques. Il faut, bien plutôt, examiner séparément les diverses activités, et les cotisations en cause seront perçues d’après la qualification de ces activités (RCC 1979 p. 149 consid. 3b). Sont toutefois réservés les aspects relatifs à la coordination dans le cas de personnes exerçant la même activité lucrative pour différents employeurs ou mandants ou exerçant différentes activités lucratives pour le même employeur ou le même mandant. Dans ces situations, il y a lieu d’éviter autant que possible que ces activités soient qualifiées de manière différente, c’est-à-dire en partie comme une activité salariée et en partie comme une activité indépendante (arrêt du Tribunal fédéral H 194/05 du 19 mars 2007 consid. 7.4 ; Michel VALTERIO, Droit de l’assurance-vieillesse et survivants (AVS) et de l’assurance-invalidité (AI), Commentaire thématique, p. 96 n. 297).</w:t>
      </w:r>
    </w:p>
    <w:p>
      <w:r>
        <w:rPr>
          <w:b/>
        </w:rPr>
        <w:t>E. 6</w:t>
      </w:r>
    </w:p>
    <w:p>
      <w:r>
        <w:t>Selon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![endif]&gt;![if&gt; 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131 V 446 consid. 1.1, 128 V 180 consid. 3c, 126 V 222 consid. 4a, 124 V 101 consid. 2 et la jurisprudence citée).</w:t>
      </w:r>
    </w:p>
    <w:p>
      <w:r>
        <w:rPr>
          <w:b/>
        </w:rPr>
        <w:t>E. 7</w:t>
      </w:r>
    </w:p>
    <w:p>
      <w:r>
        <w:t>En ce qui concerne les personnes domiciliées à l’étranger qui travaillent pour une société suisse, l’art. 11 al. 3 let. a du règlement (CE) n° 883/2004 du Parlement européen et du Conseil du 29 avril 2004 portant sur la coordination des systèmes de sécurité sociale, modifié par le règlement (CE) n° 988/2009 du Parlement européen et du Conseil du 16 septembre 2009 (règlement n° 883/2004 – RS 0.831.109.268.1 [ci-après : Règlement 883/2004]), prévoit que la personne qui exerce une activité salariée ou non salariée dans un État membre est soumise à la législation de cet État membre.  ![endif]&gt;![if&gt;</w:t>
      </w:r>
    </w:p>
    <w:p>
      <w:r>
        <w:rPr>
          <w:b/>
        </w:rPr>
        <w:t>E. 8</w:t>
      </w:r>
    </w:p>
    <w:p>
      <w:r>
        <w:t>![endif]&gt;![if&gt;</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à la réalité (ATF 139 V 176 consid. 5.2 et les références).</w:t>
      </w:r>
    </w:p>
    <w:p>
      <w:r>
        <w:rPr>
          <w:b/>
        </w:rPr>
        <w:t>E. 9</w:t>
      </w:r>
    </w:p>
    <w:p>
      <w:r>
        <w:t>En l’espèce, l’intimée fonde ses décisions de reprises sur les documents examinés lors du contrôle d’employeur effectué en date du 20 septembre 2021 ainsi que ceux qui ont été transmis postérieurement, suite aux nombreuses demandes et relances de la CCGC. Les décisions de reprises mentionnent les postes qui font l’objet de reprises de salaire et établissent le montant des cotisations sociales non versées par la recourante.![endif]&gt;![if&gt; La recourante, de son côté, allègue dans son recours avoir transmis les pièces à sa disposition et n’être pas responsable du paiement des cotisations pour les personnes qui ne seraient pas domiciliées en Suisse. Selon elle, ce type de paiement est courant dans le domaine des discothèques, pour des musiciens, des DJs et des membres du service de sécurité. À l’appui de son recours, la société ne fournit aucune pièce.</w:t>
      </w:r>
    </w:p>
    <w:p>
      <w:r>
        <w:rPr>
          <w:b/>
        </w:rPr>
        <w:t>E. 9.1</w:t>
      </w:r>
    </w:p>
    <w:p>
      <w:r>
        <w:t>Les DSD éditées par l’OFAS réservent un chapitre aux « Musiciens, artistes et DJ’s » aux ch. 4034 à 4041. La rétribution versée à des musiciens qui jouent dans des établissements de spectacles, des hôtels, des dancings, des cabarets soit comme membres d’un orchestre ou comme musicien isolé (pianiste de bar) fait partie du salaire déterminant, sans égard au fait que l’intéressé exerce son activité à titre de profession principale (musicien professionnel) ou de profession accessoire. Les rétributions que les organisateurs de concerts (sociétés d’orchestre, sociétés de musique) allouent à des auxiliaires (renforts) engagés pour une série de répétitions et d’exécutions, font partie du salaire déterminant. L’employeur est l’organisateur du concert. Un montant forfaitaire de 50 pour cent peut être déduit des rétributions obtenues par les musiciens sans domicile ni séjour en Suisse au regard du droit fiscal fédéral comme dédommagement pour frais encourus. En règle générale, est considéré comme séjournant en Suisse, le musicien qui y réside pendant 30 jours au moins et y exerce une activité lucrative. Les caisses de compensation déterminent si le musicien appartient à l’une de ces catégories. Les règles valables pour les musiciens sont applicables par analogie aux artistes. La rétribution versée à des musiciens et des artistes (chefs d’orchestre, musiciens d’orchestre, solistes, chanteurs, cantatrices, danseurs, acteurs, animateurs), qui se produisent séparément ou en groupe dans le cadre d’un spectacle donné (concerts, récitals de chant, semaines musicales, soirées de sociétés, noces) provient de l’exercice d’une activité indépendante même si le spectacle n’est pas organisé par le musicien ou par l’artiste lui-même mais par un tiers. Le caractère indépendant ou dépendant d’une activité s’apprécie principalement en fonction de la fréquence des représentations auprès d’un organisateur en particulier, la durée de l’engagement et la notoriété de la personnalité pour la représentation en question. L’existence ou non d’un lien étroit avec l’organisateur est décisive. Si l’orchestre ou la troupe d’artistes dispose d’une organisation propre (association qui gère un orchestre par exemple), il y a lieu de considérer que les membres exercent une activité salariée. Peu importe, en revanche, que la représentation s’inscrive dans le cadre d’une manifestation privée (par exemple, fête de famille ou réunion sociétaire) ou d’une manifestation (év. commerciale) mise en œuvre par un organisateur professionnel. Ces règles s’appliquent par analogie aux DJs. Un DJ qui se produit régulièrement pour un organisateur particulier, par exemple comme « DJ résident », doit en principe être qualifié de salarié. En revanche, celui qui est engagé pour une occasion unique, en raison de sa notoriété, est considéré comme indépendant.![endif]&gt;![if&gt;</w:t>
      </w:r>
    </w:p>
    <w:p>
      <w:r>
        <w:rPr>
          <w:b/>
        </w:rPr>
        <w:t>E. 9.2</w:t>
      </w:r>
    </w:p>
    <w:p>
      <w:r>
        <w:t>Alors même qu’elle a bénéficié de délais, plusieurs fois prolongés, pour fournir les pièces et les explications demandées, la recourante n’a pas été en mesure de démontrer, ou à tout le moins de rendre vraisemblable, que des prestataires de service, musiciens, DJs ou agents de sécurité, exerçaient une activité indépendante. Le rapport établi par la réviseuse de la CCGC énumère, en détail, les pièces examinées et les reprises envisagées. Ces dernières figurent également dans le courriel du 20 septembre 2021 adressé à la société. Dans sa réponse par courriel du 6 janvier 2022, la société allègue que les informations qu’elle a fournies sont partielles car la société a « subi une perte importante de certains documents et certaines sociétés ». Dans son courriel du 4 février 2022, la conseillère réviseuse de la CCGC informe la société que « les tiers déjà indiqués ne sont pas au bénéfice d’un statut d’indépendant et devront être repris en tant que salariés ». ![endif]&gt;![if&gt; Aucun élément ne permet de douter de l’exactitude des calculs effectués par l’intimée pour établir le montant des reprises. Il sied de rappeler que la société a un devoir de collaborer à l'instruction de l'affaire qui comprend, en particulier, l'obligation d'apporter, dans la mesure où cela peut être raisonnablement exigé d'elle, les preuves commandées par la nature du litige et des faits invoqués, faute de quoi elle risque de devoir supporter les conséquences de l'absence de preuves (ATF 125 V 193 consid. 2 ; VSI 1994, p. 220 consid. 4). En l’absence d’indications de postes spécifiques, étayées par des documents, les allégations très générales de la société ne constituent pas des preuves ; partant, la chambre de céans considère que l’occurrence et la quotité des reprises est établie au degré de la vraisemblance prépondérante par l’intimée.</w:t>
      </w:r>
    </w:p>
    <w:p>
      <w:r>
        <w:rPr>
          <w:b/>
        </w:rPr>
        <w:t>E. 10</w:t>
      </w:r>
    </w:p>
    <w:p>
      <w:r>
        <w:t>Compte tenu de ce qui précède, la décision sur opposition querellée est bien fondée et le recours doit être rejeté.![endif]&gt;![if&gt;</w:t>
      </w:r>
    </w:p>
    <w:p>
      <w:r>
        <w:rPr>
          <w:b/>
        </w:rPr>
        <w:t>E. 11</w:t>
      </w:r>
    </w:p>
    <w:p>
      <w:r>
        <w:t>Pour le surplus, en l’absence de loi spéciale prévoyant des frais judiciaires, la procédure est gratuite (art. 61 let. fbis LPGA).![endif]&gt;![if&gt;</w:t>
      </w:r>
    </w:p>
    <w:p>
      <w:r>
        <w:rPr>
          <w:b/>
        </w:rPr>
        <w:t>E. 12</w:t>
      </w:r>
    </w:p>
    <w:p>
      <w:r>
        <w:t>![endif]&gt;![if&gt;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