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A/683/2024 vom 17. Dezember 2024</w:t>
      </w:r>
    </w:p>
    <w:p>
      <w:r>
        <w:t>GE Cour de justice, 2024-12-17, FR</w:t>
      </w:r>
    </w:p>
    <w:p>
      <w:r>
        <w:rPr>
          <w:b/>
        </w:rPr>
        <w:t xml:space="preserve">Quelle: </w:t>
      </w:r>
      <w:r>
        <w:t>https://mcp.opencaselaw.ch/entscheid/ge_gerichte_A_683_2024</w:t>
      </w:r>
    </w:p>
    <w:p>
      <w:r>
        <w:t>FR: GE_GERICHTE A/683/2024 du 17 décembre 2024</w:t>
      </w:r>
    </w:p>
    <w:p>
      <w:r>
        <w:t>IT: GE_GERICHTE A/683/2024 del 17 dicembre 2024</w:t>
      </w:r>
    </w:p>
    <w:p>
      <w:pPr>
        <w:pStyle w:val="Heading2"/>
      </w:pPr>
      <w:r>
        <w:t>Regeste</w:t>
      </w:r>
    </w:p>
    <w:p>
      <w:r>
        <w:t>DROIT DES ÉTRANGERS;LOI FÉDÉRALE SUR LES ÉTRANGERS ET L'INTÉGRATION;RESSORTISSANT ÉTRANGER;SÉJOUR;AUTORISATION DE SÉJOUR;RENOUVELLEMENT DE L'AUTORISATION;RENVOI(DROIT DES ÉTRANGERS);MARIAGE;UNION CONJUGALE;MÉNAGE COMMUN;DURÉE;POUVOIR D'APPRÉCIATION;INTÉGRATION SOCIALE;VIOLENCE DOMESTIQUE;APPRÉCIATION DES PREUVES;CAS DE RIGUEUR | La vie commune des époux en Suisse ayant pris fin et duré moins de trois ans, le recourant, ressortissant du Cameroun, ne peut pas bénéficier d’une autorisation de séjour fondée sur son mariage avec une ressortissante suisse. Le recourant ne peut pas se prévaloir de raisons personnelles majeures imposant la poursuite de son séjour en Suisse. Le dossier ne fait pas apparaître que la violence conjugale invoquée par le recourant revêt une intensité telle qu'elle empêche la poursuite de l'union conjugale. Recours rejeté. | Cst.29.al2; LPA.61.al1; LPA.20.al1; Cst.29.al2; LPA.61; LEI.1; LEI.2; LEI.50.al1.leta; LEI.49; LEI.50.al1.letb; LEI.50.al2; OASA.31.al1; LEI.58a.al1; OASA.77.al6; OASA.77.al6bis; OASA.77.al5; CC.28b; LEI.90.al1.leta; LEI.64.al1.letc; LEI.83.al1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 recourant a pu apporter des pièces au dossier et fournir des explications détaillées tant devant l’OCPM que devant le TAPI et la chambre de céans. Il n’a par contre aucunement indiqué en quoi son audition serait indispensable à la solution du litige, ou en quoi celle-ci irait au-delà des éléments établis par pièces. Il ne sera donc pas procédé à l’audition sollicitée, à laquelle le recourant n’a par ailleurs pas droit.</w:t>
      </w:r>
    </w:p>
    <w:p>
      <w:r>
        <w:rPr>
          <w:b/>
        </w:rPr>
        <w:t>E. 3</w:t>
      </w:r>
    </w:p>
    <w:p>
      <w:r>
        <w:t>Le litige porte sur la conformité au droit du jugement confirmant la décision de l’OCPM de refuser le renouvellement de l’autorisation de séjour du recourant.</w:t>
      </w:r>
    </w:p>
    <w:p>
      <w:r>
        <w:rPr>
          <w:b/>
        </w:rPr>
        <w:t>E. 4</w:t>
      </w:r>
    </w:p>
    <w:p>
      <w:r>
        <w:t>Le recourant considère que son droit d’être entendu a été violé au motif que le TAPI n’aurait pas pris en considération les éléments propres à établir qu’il avait été victime de violences conjugales répétées et systématiques.</w:t>
      </w:r>
    </w:p>
    <w:p>
      <w:r>
        <w:rPr>
          <w:b/>
        </w:rPr>
        <w:t>E. 4.1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 ATA/512/2023 du 16 mai 2023 consid. 3.1 et l’arrêt cité).</w:t>
      </w:r>
    </w:p>
    <w:p>
      <w:r>
        <w:rPr>
          <w:b/>
        </w:rPr>
        <w:t>E. 4.2</w:t>
      </w:r>
    </w:p>
    <w:p>
      <w:r>
        <w:t>La constatation des faits est, en procédure administrative, gouvernée par le principe de la libre appréciation des preuves (art. 20 al. 1 2 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ATA/597/2024 du 14 mai 2024 consid. 4.9 et l’arrêt cité).</w:t>
      </w:r>
    </w:p>
    <w:p>
      <w:r>
        <w:rPr>
          <w:b/>
        </w:rPr>
        <w:t>E. 4.3</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4.4</w:t>
      </w:r>
    </w:p>
    <w:p>
      <w:r>
        <w:t>En l’espèce, le TAPI a retenu que les époux avaient vécu un épisode de violence conjugale mais qu’il s’était conclu par une ordonnance de non entrée en matière, non contestée. Il a également considéré que « les éléments du dossier ne f[aisaient]pas apparaître que les atteintes alléguées revêtiraient le degré de gravité exigé par la loi et la jurisprudence pour que la poursuite de son séjour en Suisse s’impose » en expliquant les raisons pour lesquelles ses allégations de violences conjugales n’étaient pas corroborées par le dossier, notamment par rapport à l’attestation du foyer « Le D______ » établissant qu’il y avait séjourné entre les 23 janvier et 25 février 2022. Ne pas retenir les allégations de violences conjugales répétées et systématiques du recourant comme des faits établis ne relève pas d’un mauvais établissement des faits mais de l’appréciation des moyens de preuve offerts par le recourant, laquelle sera examinée dans les considérants qui suivent. En toute hypothèse, compte tenu du fait que le TAPI et la chambre administrative disposent du même pouvoir d’examen portant sur les faits et le droit, à l’exclusion de l’opportunité (art. 61 al. 1 et 2 LPA), une éventuelle violation du droit d’être entendu peut être réparée par la chambre de céans. Le grief est mal fondé.</w:t>
      </w:r>
    </w:p>
    <w:p>
      <w:r>
        <w:rPr>
          <w:b/>
        </w:rPr>
        <w:t>E. 5</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Le nouveau droit s’applique en l’espèce, la demande de renouvellement du permis de séjour datant du 12 avril 2023 et, surtout, l’OCPM ayant annoncé son intention de refuser de prolonger l’autorisation au recourant le 16 novembre 2023 (arrêt du Tribunal fédéral 2C_145/2022 du 6 avril 2022 consid. 5) – étant précisé cependant que la plupart des dispositions de la LEI sont demeurées identiques.</w:t>
      </w:r>
    </w:p>
    <w:p>
      <w:r>
        <w:rPr>
          <w:b/>
        </w:rPr>
        <w:t>E. 5.1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Cameroun ( ATA/247/2024 du 27 février 2024 consid. 4.2).</w:t>
      </w:r>
    </w:p>
    <w:p>
      <w:r>
        <w:rPr>
          <w:b/>
        </w:rPr>
        <w:t>E. 5.2</w:t>
      </w:r>
    </w:p>
    <w:p>
      <w:r>
        <w:t>Selon l’art. 50 al. 1 LEI, après dissolution de la famille, le droit du conjoint et des enfants à l’octroi d’une autorisation de séjour et à la prolongation de sa durée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LEI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LEI doit faire valoir et, dans la mesure du possible, démontrer que la communauté familiale subsiste, même si les époux vivent séparés pour des raisons majeures (arrêt du Tribunal fédéral 2C_50/2010 du 17 juin 2010 consid. 2.2). En effet, le but de l’art. 49 LEI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ATA/1046/2024 du 3 septembre 2024 consid. 3.7.1).</w:t>
      </w:r>
    </w:p>
    <w:p>
      <w:r>
        <w:rPr>
          <w:b/>
        </w:rPr>
        <w:t>E. 5.3</w:t>
      </w:r>
    </w:p>
    <w:p>
      <w:r>
        <w:t>En l’espèce, les époux se sont mariés le 20 juin 2020 à Genève et ont fait ménage commun jusqu’au 11 janvier 2022 au plus, date de l’ordonnance sur mesures superprovisionnelles rendue par le TPI autorisant les époux à vivre séparés et ordonnant l’expulsion du recourant du domicile conjugal pour une durée de deux mois. Le recourant a d’ailleurs déclaré à la police, le 7 juillet 2022, être séparé de son épouse depuis cette date et avoir quitté l’appartement à la suite de l’ordonnance précitée. L’union conjugale ayant duré au moins trois ans, le recourant ne peut en conséquence pas se prévaloir de l’art. 50 al. 1 let. a LEI et il n’est pas nécessaire d’examiner la seconde condition posée par cette dernière disposition, soit la réussite de l’intégration.</w:t>
      </w:r>
    </w:p>
    <w:p>
      <w:r>
        <w:rPr>
          <w:b/>
        </w:rPr>
        <w:t>E. 5.4</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rPr>
          <w:b/>
        </w:rPr>
        <w:t>E. 5.5</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5.6</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 septembre 2023 [ci-après : directives LEI], ch. 5.6.12). À elles seules, la longue durée du séjour et l’intégration (travail régulier, absence de condamnations et de dépendance à l’aide sociale) ne suffisent pas à rendre la poursuite du séjour imposable au sens de l’art. 50 al. 1 let. b LEI ( ATA/192/2021 du 23 février 2021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5.7</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à la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sa durée, ainsi que les pressions subjectives qui en résultent (arrêts du Tribunal fédéral 2C_465/2023 du 6 mars 2024 consid. 4.1 ; 2C_693/2019 du 21 janvier 2020 consid. 4.4). Des affirmations d’ordre général ou des indices faisant état de tensions ponctuelles sont insuffisants (ATF 138 II 229 consid. 3.2.3 ; arrêts du Tribunal fédéral 2C_12/2018 précité consid. 3.2 ; 2C_401/2018 du 17 septembre 2018 consid. 4.2).</w:t>
      </w:r>
    </w:p>
    <w:p>
      <w:r>
        <w:rPr>
          <w:b/>
        </w:rPr>
        <w:t>E. 5.8</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5.9</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5.10</w:t>
      </w:r>
    </w:p>
    <w:p>
      <w:r>
        <w:t>En l’espèce, le recourant allègue avoir été victime de violences physiques et/ou psychologiques. Il a versé à la procédure un « constat de coups et blessures » relatif à une agression qu’il dit avoir subie de la part de son épouse la nuit du 26 au 27 décembre 2021. Même si un épisode de violence a certainement dû se produire ce soir-là – des deux côtés des parties – ce document ne renseigne toutefois pas sur la fréquence et l’intensité des violences. Le recourant n’a d’ailleurs pas déposé plainte à l’encontre de son épouse au contraire de cette dernière. Sur le plan physique, les lésions constatées sont principalement une tuméfaction du poignet droit et sont considérées comme compatibles avec la description des événements faite par le recourant. Sans les minimiser, l’intensité des violences apparaît toutefois difficile à établir. Or, et comme l’a rappelé le Tribunal fédéral, le devoir de collaboration des étrangers est important sur cette problématique. Ils doivent rendre l’existence d’une violence conjugale crédible et démontrer la répétition et l’intensité des atteintes en s’appuyant sur des preuves adéquates (ATF 138 II 299 consid. 3.2.3). La pièce versée à la procédure ne permet donc pas d’établir l’intensité requise par la jurisprudence du Tribunal fédéral. Le recourant ne prouve pas plus l’existence de violences psychiques, aucune pièce n’ayant été fournie à ce propos. Pour ces motifs, le dossier ne fait pas apparaître que la violence conjugale invoquée par le recourant revête une intensité telle qu’elle empêche la poursuite de l’union conjugale (arrêt du Tribunal fédéral 2C_859/2017 du 20 décembre 2017 consid. 5.2). Dans ces conditions, c’est à bon droit que l’OCPM puis le TAPI ont retenu que la situation du recourant ne relevait pas d’un cas de violence conjugale répondant aux critères jurisprudentiels de gravité exigés par l’art. 50 al. 2 LEI, et que l’intéressé ne pouvait donc pas invoquer des raisons personnelles majeures (art. 50 al. 1 let. b LEI) pour en déduire un droit de séjour en Suisse en lien avec la violence conjugale dont il affirmait avoir été victime. Le recourant fait valoir qu’il remplirait les conditions d’un cas individuel d’extrême gravité. Il ne peut être suivi. En Suisse depuis au mieux novembre 2016, la durée de son séjour doit être relativisée dans la mesure où il a expliqué à la police, le 7 juillet 2022, que sa présence n’avait été légalisée qu’au mois de mai 2019. De plus, son permis de séjour a pris fin le 19 juin 2023 et il demeure sur le territoire au bénéfice d’une simple tolérance depuis lors. S’il maîtrise le français, ne semble pas avoir de dettes ou poursuite, ne pas avoir de casier judiciaire et être indépendant financièrement, il ne saurait toutefois se prévaloir d’une intégration sociale particulièrement poussée ou d’une réussite professionnelle remarquable. En effet, il n’allègue pas, ni a fortiori ne démontre, posséder des connaissances professionnelles si spécifiques qu’il ne pourrait les mettre en œuvre dans son pays d’origine. Au plan social, le recourant ne fait pas valoir d’attaches particulièrement fortes avec la Suisse, ni d’intégration au plan sportif, associatif ou culturel. S’il est vrai qu’il ressort des formulaires déposés par le recourant qu’il serait le père d’une fille âgée de 11 ans vivant à Genève, le recourant n’a toutefois fourni aucune précision ou document à ce sujet, en violation de son devoir de collaboration (art. 90 al. 1 let. a LEI ; arrêt du Tribunal fédéral 2C_161/2013 du 3 septembre 2013 consid. 2.2.1). L’enfant n’apparait d’ailleurs sur aucun autre document du dossier. Il ne peut ainsi pas se prévaloir de l’éventuelle relation économique et sociale avec cette fillette, ni a fortiori avec le deuxième enfant allégué pour invoquer des dispositions sur les cas de rigueur en l’absence de toute relation effective. Le recourant n’établit pas que sa réintégration au Cameroun serait à ce point difficile qu’elle ne pourrait raisonnablement être exigée de lui. Arrivé en Suisse au mieux à l’âge de 28 ans, le recourant a vécu toute son enfance, son adolescence et la majeure partie de sa vie d’adulte au Cameroun. Il connaît les us et coutumes de son pays, la mentalité et en parle la langue. Âgé aujourd’hui de 36 ans, il est encore relativement jeune et en bonne santé. Il pourra faire valoir dans son pays d’origine les connaissances professionnelles acquises en Suisse. Ainsi, c’est de manière conforme à la loi et sans excès ni abus de son pouvoir d’appréciation que l’OCPM a rejeté la demande de prolongation d’autorisation de séjour du recourant.</w:t>
      </w:r>
    </w:p>
    <w:p>
      <w:r>
        <w:rPr>
          <w:b/>
        </w:rPr>
        <w:t>E. 6</w:t>
      </w:r>
    </w:p>
    <w:p>
      <w:r>
        <w:t>Reste à examiner si le renvoi prononcé par l’OCPM est conforme au droit.</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6.2</w:t>
      </w:r>
    </w:p>
    <w:p>
      <w:r>
        <w:t>En l’espèce, dès lors qu’il a, à juste titre, refusé de renouveler l’autorisation de séjour du recourant, l’OCPM devait prononcer son renvoi. Il a été vu plus haut que son retour au Cameroun est exigible. Il n’invoque aucun élément permettant de retenir que l’exécution de son renvoi ne serait pas possible, licite ou ne pourrait raisonnablement être exigé. De tels éléments ne ressortent pas non plus du dossier, étant relevé qu’il dispose d’un passeport camerounais valable jusqu’au 2 mars 2026. Il suit de là que rien ne s’oppose à l’exécution du renvoi du recourant. Entièrement mal fondé, le recours sera rejeté.</w:t>
      </w:r>
    </w:p>
    <w:p>
      <w:r>
        <w:rPr>
          <w:b/>
        </w:rPr>
        <w:t>E. 7</w:t>
      </w:r>
    </w:p>
    <w:p>
      <w:r>
        <w:t>Vu l’issue du litige, un émolument de CHF 400.-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