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A/680/2022 vom 15. Dezember 2022</w:t>
      </w:r>
    </w:p>
    <w:p>
      <w:r>
        <w:t>GE Cour de justice, 2022-12-15, FR</w:t>
      </w:r>
    </w:p>
    <w:p>
      <w:r>
        <w:rPr>
          <w:b/>
        </w:rPr>
        <w:t xml:space="preserve">Quelle: </w:t>
      </w:r>
      <w:r>
        <w:t>https://mcp.opencaselaw.ch/entscheid/ge_gerichte_A_680_2022</w:t>
      </w:r>
    </w:p>
    <w:p>
      <w:r>
        <w:t>FR: GE_GERICHTE A/680/2022 du 15 décembre 2022</w:t>
      </w:r>
    </w:p>
    <w:p>
      <w:r>
        <w:t>IT: GE_GERICHTE A/680/2022 del 15 dicembre 2022</w:t>
      </w:r>
    </w:p>
    <w:p>
      <w:pPr>
        <w:pStyle w:val="Heading2"/>
      </w:pPr>
      <w:r>
        <w:t>Erwägungen</w:t>
      </w:r>
    </w:p>
    <w:p>
      <w:r>
        <w:rPr>
          <w:b/>
        </w:rPr>
        <w:t>E. 5</w:t>
      </w:r>
    </w:p>
    <w:p>
      <w:r>
        <w:t>À titre préalable, il convient d’examiner d’office si la demande de restitution n’est pas prescrite.![endif]&gt;![if&gt; Selon l’art. 25 al. 2 LPGA (dans sa teneur ici applicable, modifiée dès le 1 er janvier 2021 par la loi fédérale du 21 juin 2019 modifiant la LPGA [RO 2020 5137 ; FF 2018 1597]), le droit de demander la restitution s'éteint un an (à l’avenir trois ans, selon la modification précitée) après le moment où l'institution d’assurance a eu connaissance du fait fondant la prétention en restitution, mais au plus tard cinq ans après le versement de la prestation, étant précisé que si la créance naît d'un acte punissable pour lequel le droit pénal prévoit un délai de prescription plus long, celui-ci est déterminant (arrêt du Tribunal fédéral 9C_240/2020 du 11 décembre 2020 consid. 2). L’acte de vente de l’immeuble a été passé le 9 septembre 2020 et les deux décisions de restitution datent du 12 avril 2021. Le droit de réclamer la restitution des montants versés à titre de PC n’est donc pas prescrit.</w:t>
      </w:r>
    </w:p>
    <w:p>
      <w:r>
        <w:rPr>
          <w:b/>
        </w:rPr>
        <w:t>E. 6</w:t>
      </w:r>
    </w:p>
    <w:p>
      <w:r>
        <w:t>![endif]&gt;![if&gt;</w:t>
      </w:r>
    </w:p>
    <w:p>
      <w:r>
        <w:rPr>
          <w:b/>
        </w:rPr>
        <w:t>E. 6.1</w:t>
      </w:r>
    </w:p>
    <w:p>
      <w:r>
        <w:t>Selon l'art. 4 al. 1 let. a LPC,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du Tribunal fédéral 9C_846/2010 du 12 août 2011 consid. 4.2.1).![endif]&gt;![if&gt;</w:t>
      </w:r>
    </w:p>
    <w:p>
      <w:r>
        <w:rPr>
          <w:b/>
        </w:rPr>
        <w:t>E. 6.2</w:t>
      </w:r>
    </w:p>
    <w:p>
      <w:r>
        <w:t>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font partie de la fortune d’un requérant ses biens mobiliers et immobiliers, ainsi que les droits personnels et réels lui appartenant ; l’origine des éléments de fortune est irrelevante. ![endif]&gt;![if&gt;</w:t>
      </w:r>
    </w:p>
    <w:p>
      <w:r>
        <w:rPr>
          <w:b/>
        </w:rPr>
        <w:t>E. 6.3</w:t>
      </w:r>
    </w:p>
    <w:p>
      <w:r>
        <w:t>Les créances constituent des éléments de fortune (ATF 131 V 329 consid. 4.6), quand elles ne représentent pas des éléments de revenus, à l’instar de pensions alimentaires ( ATAS/58/2016 du 26 janvier 2016 consid. 3e et f et les références citées). Aussi faut-il considérer en principe que les créances en remboursement de prêts consentis à des tiers doivent être prises en compte comme des éléments de fortune pour établir le revenu déterminant pour l’octroi de prestations complémentaires. ![endif]&gt;![if&gt;</w:t>
      </w:r>
    </w:p>
    <w:p>
      <w:r>
        <w:rPr>
          <w:b/>
        </w:rPr>
        <w:t>E. 6.4</w:t>
      </w:r>
    </w:p>
    <w:p>
      <w:r>
        <w:t>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 ème éd. 2016, pp. 1842-1843 n. 161).![endif]&gt;![if&gt;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8</w:t>
      </w:r>
    </w:p>
    <w:p>
      <w:r>
        <w:t>En l’occurrence, l’intimé a pris en compte, dans le calcul de la fortune du recourant, le montant correspondant à sa part successorale, suite à la vente de l’immeuble sis à Leytron et propriété de l’hoirie.![endif]&gt;![if&gt; L’intimé a considéré que le moment à partir duquel la part successorale pouvait être intégrée dans la fortune du recourant correspondait à la date de l’acte de vente passé le 9 septembre 2020, en raison du fait que c’était à ce moment-là que ladite part successorale n’était plus grevée d’un usufruit. Le recourant conteste la date retenue par le SPC et estime que ce n’est qu’à partir du moment où il a reçu le montant correspondant à sa part successorale, soit le 3 mars 2021 lorsque son compte bancaire a été crédité, que le montant en question peut être intégré dans sa fortune.</w:t>
      </w:r>
    </w:p>
    <w:p>
      <w:r>
        <w:rPr>
          <w:b/>
        </w:rPr>
        <w:t>E. 8.1</w:t>
      </w:r>
    </w:p>
    <w:p>
      <w:r>
        <w:t>Comme cela est mentionné supra, les créances constituent des éléments de fortune (ATF 131 V 329 consid. 4.6), quand elles ne représentent pas des éléments de revenus, à l’instar de pensions alimentaires ( ATAS/58/2016 du 26 janvier 2016 consid. 3e et f et les références citées). ![endif]&gt;![if&gt; De la même manière que l’on considère, en principe, qu’une créance en remboursement d’un prêt consenti à un tiers doit être prise en compte comme un élément de fortune pour établir le revenu déterminant pour l’octroi de prestations complémentaires, il convient de considérer qu’à partir du moment où une part successorale devient disponible en ce sens qu’elle n’est plus grevée d’un usufruit et que l’on peut, de surcroît, en déterminer la valeur exacte qui correspond, dans le cas d’espèce, à la quote-part du recourant dans la vente du bien immobilier, soit CHF 146'447.10, il y a lieu d’intégrer cet élément dans la fortune du recourant.</w:t>
      </w:r>
    </w:p>
    <w:p>
      <w:r>
        <w:rPr>
          <w:b/>
        </w:rPr>
        <w:t>E. 8.2</w:t>
      </w:r>
    </w:p>
    <w:p>
      <w:r>
        <w:t>Comme le souligne l’intimé, peu importe le moment à partir duquel le montant qui correspond la quote-part est versé sur son compte bancaire, dès lors que, jusqu’au moment où son compte bancaire a été crédité, il était détenteur d’une créance contre l’hoirie d’un montant correspondant à sa part successorale.![endif]&gt;![if&gt; Il résulte de ce qui précède que la décision du SPC de tenir compte de la part successorale dans la fortune nette du recourant au moment où l’acte de vente a été passé - et que l’usufruit grevant ladite part a été levé - ne prête pas le flanc à la critique.</w:t>
      </w:r>
    </w:p>
    <w:p>
      <w:r>
        <w:rPr>
          <w:b/>
        </w:rPr>
        <w:t>E. 9</w:t>
      </w:r>
    </w:p>
    <w:p>
      <w:r>
        <w:t>Le recourant ne remet pas en question les calculs effectués par le SPC et la quotité du montant dont la restitution est demandée mais considère qu’il n’a pas reçu indûment les prestations, ce qui, selon son interprétation, signifierait qu’il s’est enrichi de manière illégitime.![endif]&gt;![if&gt;</w:t>
      </w:r>
    </w:p>
    <w:p>
      <w:r>
        <w:rPr>
          <w:b/>
        </w:rPr>
        <w:t>E. 9.1</w:t>
      </w:r>
    </w:p>
    <w:p>
      <w:r>
        <w:t>Comme le souligne l’intimé dans sa motivation, les décisions d’octroi de prestations complémentaires peuvent être modifiées avec effet rétroactif lorsque sont réalisées les conditions qui président à la révocation par le SPC d’une décision administrative. Cela signifie que l’obligation de restituer les PC n’implique pas que son bénéficiaire a violé une quelconque obligation mais qu’il s’agit simplement de rétablir l’ordre légal après la découverte d’un fait nouveau (ATF 122 V 134 ).![endif]&gt;![if&gt; Ainsi, il n’est pas reproché au recourant d’avoir profité des prestations complémentaires, d’avoir dissimulé des informations ou d’avoir donné de faux renseignements.</w:t>
      </w:r>
    </w:p>
    <w:p>
      <w:r>
        <w:rPr>
          <w:b/>
        </w:rPr>
        <w:t>E. 9.2</w:t>
      </w:r>
    </w:p>
    <w:p>
      <w:r>
        <w:t>Le système d’octroi des PC implique que des prestations sont allouées pendant plusieurs mois sur la base d’informations qui sont valables au moment où la décision est prise mais qui peuvent rapidement changer ; tel sera le cas du montant figurant sur un compte bancaire, qui fluctuera au cours des mois, mais pour lequel il serait déraisonnable, pour des questions d’économie de procédure, de tenir compte, chaque mois, du montant de la fortune nette. ![endif]&gt;![if&gt; En raison du décalage temporel qui existe entre le moment où la décision est prise - en se fondant sur les éléments de fortune à disposition - et la fluctuation de ladite fortune, il s’ensuit que, régulièrement, le SPC doit s’enquérir des modifications qui ont pu intervenir au cours du temps et qui peuvent avoir pour conséquence, en cas d’augmentation de la fortune, une diminution voire une suppression du droit aux PC, ou, en cas de diminution de la fortune, un droit à l’octroi de PC ou une augmentation du droit aux PC. Comme le recourant a pu le constater, ce n’est qu’après avoir transmis au SPC les relevés bancaires établissant sa fortune à la fin de l’année 2021 que ce dernier a pu en tenir compte dans la décision querellée, admettant que la fortune qu’il avait prise en compte ne correspondait pas à la fortune effective du recourant.</w:t>
      </w:r>
    </w:p>
    <w:p>
      <w:r>
        <w:rPr>
          <w:b/>
        </w:rPr>
        <w:t>E. 10</w:t>
      </w:r>
    </w:p>
    <w:p>
      <w:r>
        <w:t>Compte tenu de ce qui précède, la chambre de céans n’a d’autre choix que de rejeter le recours.![endif]&gt;![if&gt;</w:t>
      </w:r>
    </w:p>
    <w:p>
      <w:r>
        <w:rPr>
          <w:b/>
        </w:rPr>
        <w:t>E. 11</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